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F" w:rsidRPr="00996C37" w:rsidRDefault="00C864E2" w:rsidP="00C864E2">
      <w:pPr>
        <w:pStyle w:val="2"/>
        <w:ind w:left="2832" w:right="-284" w:firstLine="708"/>
        <w:jc w:val="both"/>
      </w:pPr>
      <w:r w:rsidRPr="00996C37">
        <w:t>ИНФОРМАЦИЯ</w:t>
      </w:r>
    </w:p>
    <w:p w:rsidR="00CF73BF" w:rsidRPr="00996C37" w:rsidRDefault="00CF73BF" w:rsidP="00CF73BF">
      <w:pPr>
        <w:pStyle w:val="2"/>
        <w:ind w:left="284" w:right="-284"/>
      </w:pPr>
      <w:r w:rsidRPr="00996C37">
        <w:t xml:space="preserve">о результатах </w:t>
      </w:r>
      <w:r w:rsidR="006C2AE9" w:rsidRPr="00996C37">
        <w:t>КОНТРОЛЬНОГО МЕРОПРИЯТИЯ</w:t>
      </w:r>
    </w:p>
    <w:p w:rsidR="00193E58" w:rsidRPr="00996C37" w:rsidRDefault="00193E58" w:rsidP="00193E58">
      <w:pPr>
        <w:spacing w:line="240" w:lineRule="auto"/>
        <w:ind w:right="-1"/>
        <w:rPr>
          <w:b/>
          <w:snapToGrid w:val="0"/>
          <w:sz w:val="24"/>
          <w:szCs w:val="24"/>
        </w:rPr>
      </w:pPr>
      <w:r w:rsidRPr="00996C37">
        <w:rPr>
          <w:b/>
          <w:sz w:val="24"/>
          <w:szCs w:val="24"/>
        </w:rPr>
        <w:t>«</w:t>
      </w:r>
      <w:r w:rsidRPr="00996C37">
        <w:rPr>
          <w:b/>
          <w:bCs/>
          <w:sz w:val="24"/>
          <w:szCs w:val="24"/>
        </w:rPr>
        <w:t xml:space="preserve">Проверка законности, результативности (эффективности и экономности) использования средств, </w:t>
      </w:r>
      <w:r w:rsidRPr="00996C37">
        <w:rPr>
          <w:b/>
          <w:snapToGrid w:val="0"/>
          <w:sz w:val="24"/>
          <w:szCs w:val="24"/>
        </w:rPr>
        <w:t xml:space="preserve">выделенных из бюджета городского округа Лотошино и эффективности использования </w:t>
      </w:r>
      <w:r w:rsidRPr="00996C37">
        <w:rPr>
          <w:b/>
          <w:bCs/>
          <w:sz w:val="24"/>
          <w:szCs w:val="24"/>
        </w:rPr>
        <w:t>муниципального имущества</w:t>
      </w:r>
      <w:r w:rsidRPr="00996C37">
        <w:rPr>
          <w:b/>
          <w:snapToGrid w:val="0"/>
          <w:sz w:val="24"/>
          <w:szCs w:val="24"/>
        </w:rPr>
        <w:t xml:space="preserve"> Муниципальным учреждением дополнительного образования «Детско-юношеская спортивная школа» (с элементами аудита закупок).</w:t>
      </w:r>
    </w:p>
    <w:p w:rsidR="002318E4" w:rsidRPr="00193E58" w:rsidRDefault="002318E4" w:rsidP="002318E4">
      <w:pPr>
        <w:spacing w:line="240" w:lineRule="auto"/>
        <w:ind w:right="-1"/>
        <w:rPr>
          <w:b/>
          <w:color w:val="FF0000"/>
          <w:sz w:val="24"/>
          <w:szCs w:val="24"/>
        </w:rPr>
      </w:pPr>
    </w:p>
    <w:p w:rsidR="00CF73BF" w:rsidRPr="00193E58" w:rsidRDefault="00CF73BF" w:rsidP="004B42F9">
      <w:pPr>
        <w:spacing w:line="240" w:lineRule="auto"/>
        <w:ind w:right="-1" w:firstLine="0"/>
        <w:rPr>
          <w:b/>
          <w:color w:val="FF0000"/>
          <w:sz w:val="24"/>
          <w:szCs w:val="24"/>
          <w:lang w:eastAsia="en-US"/>
        </w:rPr>
      </w:pPr>
    </w:p>
    <w:p w:rsidR="00FD3919" w:rsidRPr="00193E58" w:rsidRDefault="00CF73BF" w:rsidP="00193E58">
      <w:pPr>
        <w:spacing w:line="240" w:lineRule="auto"/>
        <w:rPr>
          <w:b/>
          <w:sz w:val="24"/>
          <w:szCs w:val="24"/>
        </w:rPr>
      </w:pPr>
      <w:r w:rsidRPr="00193E58">
        <w:rPr>
          <w:b/>
          <w:sz w:val="24"/>
          <w:szCs w:val="24"/>
          <w:lang w:eastAsia="en-US"/>
        </w:rPr>
        <w:t xml:space="preserve"> </w:t>
      </w:r>
      <w:r w:rsidRPr="00193E58">
        <w:rPr>
          <w:b/>
          <w:sz w:val="24"/>
          <w:szCs w:val="24"/>
        </w:rPr>
        <w:t xml:space="preserve">1. Основание для проведения проверки: </w:t>
      </w:r>
    </w:p>
    <w:p w:rsidR="00193E58" w:rsidRPr="00193E58" w:rsidRDefault="00193E58" w:rsidP="00193E58">
      <w:pPr>
        <w:spacing w:line="240" w:lineRule="auto"/>
        <w:rPr>
          <w:sz w:val="24"/>
          <w:szCs w:val="24"/>
        </w:rPr>
      </w:pPr>
      <w:r w:rsidRPr="00193E58">
        <w:rPr>
          <w:sz w:val="24"/>
          <w:szCs w:val="24"/>
        </w:rPr>
        <w:t>- пункт 2.5 Плана работы Контрольно-счетной палаты городского округа Лотошино на 2022 год;</w:t>
      </w:r>
    </w:p>
    <w:p w:rsidR="00193E58" w:rsidRPr="00193E58" w:rsidRDefault="00193E58" w:rsidP="00193E58">
      <w:pPr>
        <w:spacing w:line="240" w:lineRule="auto"/>
        <w:rPr>
          <w:sz w:val="24"/>
          <w:szCs w:val="24"/>
        </w:rPr>
      </w:pPr>
      <w:r w:rsidRPr="00193E58">
        <w:rPr>
          <w:sz w:val="24"/>
          <w:szCs w:val="24"/>
        </w:rPr>
        <w:t>- распоряжение Контрольно-счетной палаты городского округа Лотошино №11-06/02 от 22.02.2022 года.</w:t>
      </w:r>
    </w:p>
    <w:p w:rsidR="00193E58" w:rsidRPr="00193E58" w:rsidRDefault="00193E58" w:rsidP="00193E58">
      <w:pPr>
        <w:spacing w:line="240" w:lineRule="auto"/>
        <w:rPr>
          <w:b/>
          <w:sz w:val="24"/>
          <w:szCs w:val="24"/>
        </w:rPr>
      </w:pPr>
      <w:r w:rsidRPr="00193E58">
        <w:rPr>
          <w:b/>
          <w:sz w:val="24"/>
          <w:szCs w:val="24"/>
        </w:rPr>
        <w:t>2. Предмет проверки:</w:t>
      </w:r>
    </w:p>
    <w:p w:rsidR="00193E58" w:rsidRPr="00193E58" w:rsidRDefault="00193E58" w:rsidP="00193E58">
      <w:pPr>
        <w:spacing w:line="240" w:lineRule="auto"/>
        <w:rPr>
          <w:sz w:val="24"/>
          <w:szCs w:val="24"/>
        </w:rPr>
      </w:pPr>
      <w:r w:rsidRPr="00193E58">
        <w:rPr>
          <w:sz w:val="24"/>
          <w:szCs w:val="24"/>
        </w:rPr>
        <w:t xml:space="preserve"> деятельность учреждения (действия должностных лиц) по использованию средств бюджета городского округа Лотошино; средств, полученных от предпринимательской деятельности; другие доходы, получаемые от использования муниципальной собственности, закрепленной за учреждением на праве оперативного управления (переданной в безвозмездное пользование), и иной деятельности.</w:t>
      </w:r>
    </w:p>
    <w:p w:rsidR="00193E58" w:rsidRPr="00193E58" w:rsidRDefault="00193E58" w:rsidP="00193E58">
      <w:pPr>
        <w:spacing w:line="240" w:lineRule="auto"/>
        <w:rPr>
          <w:b/>
          <w:sz w:val="24"/>
          <w:szCs w:val="24"/>
        </w:rPr>
      </w:pPr>
      <w:r w:rsidRPr="00193E58">
        <w:rPr>
          <w:b/>
          <w:sz w:val="24"/>
          <w:szCs w:val="24"/>
        </w:rPr>
        <w:t xml:space="preserve">3. Объекты проверки: </w:t>
      </w:r>
    </w:p>
    <w:p w:rsidR="00193E58" w:rsidRPr="00193E58" w:rsidRDefault="00193E58" w:rsidP="00193E58">
      <w:pPr>
        <w:spacing w:line="240" w:lineRule="auto"/>
        <w:outlineLvl w:val="2"/>
        <w:rPr>
          <w:snapToGrid w:val="0"/>
          <w:sz w:val="24"/>
          <w:szCs w:val="24"/>
        </w:rPr>
      </w:pPr>
      <w:r w:rsidRPr="00193E58">
        <w:rPr>
          <w:snapToGrid w:val="0"/>
          <w:sz w:val="24"/>
          <w:szCs w:val="24"/>
        </w:rPr>
        <w:t>- муниципальное учреждение дополнительного образования «Детско-юношеская спортивная школа»;</w:t>
      </w:r>
    </w:p>
    <w:p w:rsidR="00193E58" w:rsidRPr="00193E58" w:rsidRDefault="00193E58" w:rsidP="00193E58">
      <w:pPr>
        <w:spacing w:line="240" w:lineRule="auto"/>
        <w:rPr>
          <w:sz w:val="24"/>
          <w:szCs w:val="24"/>
        </w:rPr>
      </w:pPr>
      <w:r w:rsidRPr="00193E58">
        <w:rPr>
          <w:sz w:val="24"/>
          <w:szCs w:val="24"/>
        </w:rPr>
        <w:t>- отдел по образованию администрации городского округа Лотошино;</w:t>
      </w:r>
    </w:p>
    <w:p w:rsidR="00193E58" w:rsidRPr="00193E58" w:rsidRDefault="00193E58" w:rsidP="00193E58">
      <w:pPr>
        <w:spacing w:line="240" w:lineRule="auto"/>
        <w:rPr>
          <w:sz w:val="24"/>
          <w:szCs w:val="24"/>
        </w:rPr>
      </w:pPr>
      <w:r w:rsidRPr="00193E58">
        <w:rPr>
          <w:sz w:val="24"/>
          <w:szCs w:val="24"/>
        </w:rPr>
        <w:t>- муниципальное учреждение «Централизованная бухгалтерия муниципальных учреждений городского округа Лотошино».</w:t>
      </w:r>
    </w:p>
    <w:p w:rsidR="00193E58" w:rsidRPr="00193E58" w:rsidRDefault="00193E58" w:rsidP="00193E58">
      <w:pPr>
        <w:spacing w:line="240" w:lineRule="auto"/>
        <w:rPr>
          <w:sz w:val="24"/>
          <w:szCs w:val="24"/>
        </w:rPr>
      </w:pPr>
      <w:r w:rsidRPr="00193E58">
        <w:rPr>
          <w:b/>
          <w:sz w:val="24"/>
          <w:szCs w:val="24"/>
        </w:rPr>
        <w:t>4. Срок проведения контрольного мероприятия</w:t>
      </w:r>
      <w:r w:rsidRPr="00193E58">
        <w:rPr>
          <w:sz w:val="24"/>
          <w:szCs w:val="24"/>
        </w:rPr>
        <w:t>: с 22.02.2022 года по 22.03.2022 года.</w:t>
      </w:r>
    </w:p>
    <w:p w:rsidR="00193E58" w:rsidRPr="00193E58" w:rsidRDefault="00193E58" w:rsidP="00193E58">
      <w:pPr>
        <w:spacing w:line="240" w:lineRule="auto"/>
        <w:rPr>
          <w:b/>
          <w:sz w:val="24"/>
          <w:szCs w:val="24"/>
        </w:rPr>
      </w:pPr>
      <w:r w:rsidRPr="00193E58">
        <w:rPr>
          <w:rFonts w:eastAsiaTheme="minorEastAsia"/>
          <w:b/>
          <w:sz w:val="24"/>
          <w:szCs w:val="24"/>
        </w:rPr>
        <w:t>5.</w:t>
      </w:r>
      <w:r w:rsidRPr="00193E58">
        <w:rPr>
          <w:rFonts w:eastAsiaTheme="minorEastAsia"/>
          <w:sz w:val="24"/>
          <w:szCs w:val="24"/>
        </w:rPr>
        <w:t xml:space="preserve">  </w:t>
      </w:r>
      <w:r w:rsidRPr="00193E58">
        <w:rPr>
          <w:b/>
          <w:sz w:val="24"/>
          <w:szCs w:val="24"/>
        </w:rPr>
        <w:t>Цели  проведения контрольного мероприятия:</w:t>
      </w:r>
    </w:p>
    <w:p w:rsidR="00193E58" w:rsidRPr="00193E58" w:rsidRDefault="00193E58" w:rsidP="00193E58">
      <w:pPr>
        <w:spacing w:line="240" w:lineRule="auto"/>
        <w:rPr>
          <w:sz w:val="24"/>
          <w:szCs w:val="24"/>
        </w:rPr>
      </w:pPr>
      <w:r w:rsidRPr="00193E58">
        <w:rPr>
          <w:sz w:val="24"/>
          <w:szCs w:val="24"/>
        </w:rPr>
        <w:t> </w:t>
      </w:r>
      <w:r w:rsidRPr="00193E58">
        <w:rPr>
          <w:bCs/>
          <w:iCs/>
          <w:sz w:val="24"/>
          <w:szCs w:val="24"/>
        </w:rPr>
        <w:t xml:space="preserve">Цель 1. </w:t>
      </w:r>
      <w:r w:rsidRPr="00193E58">
        <w:rPr>
          <w:sz w:val="24"/>
          <w:szCs w:val="24"/>
        </w:rPr>
        <w:t>Установление законности и результативности использования бюджетных средств, предоставленных из  бюджета городского округа Лотошино на обеспечение деятельности учреждения; анализ состояния финансовой дисциплины по получению и использованию бюджетных средств; определение эффективности деятельности учреждения по использованию бюджетных средств и закрепленного за учреждением муниципального имущества.</w:t>
      </w:r>
    </w:p>
    <w:p w:rsidR="00193E58" w:rsidRPr="00193E58" w:rsidRDefault="00193E58" w:rsidP="00193E58">
      <w:pPr>
        <w:spacing w:line="240" w:lineRule="auto"/>
        <w:rPr>
          <w:sz w:val="24"/>
          <w:szCs w:val="24"/>
        </w:rPr>
      </w:pPr>
      <w:r w:rsidRPr="00193E58">
        <w:rPr>
          <w:sz w:val="24"/>
          <w:szCs w:val="24"/>
        </w:rPr>
        <w:t xml:space="preserve">Цель 2. Анализ организации деятельности Учреждения при реализация образовательного процесса. </w:t>
      </w:r>
    </w:p>
    <w:p w:rsidR="00193E58" w:rsidRPr="00193E58" w:rsidRDefault="00193E58" w:rsidP="00193E58">
      <w:pPr>
        <w:tabs>
          <w:tab w:val="left" w:pos="1418"/>
        </w:tabs>
        <w:spacing w:line="240" w:lineRule="auto"/>
        <w:rPr>
          <w:sz w:val="24"/>
          <w:szCs w:val="24"/>
        </w:rPr>
      </w:pPr>
      <w:r w:rsidRPr="00193E58">
        <w:rPr>
          <w:sz w:val="24"/>
          <w:szCs w:val="24"/>
        </w:rPr>
        <w:t>Цель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193E58" w:rsidRPr="00193E58" w:rsidRDefault="00CF73BF" w:rsidP="00193E58">
      <w:pPr>
        <w:spacing w:line="240" w:lineRule="auto"/>
        <w:rPr>
          <w:sz w:val="24"/>
          <w:szCs w:val="24"/>
        </w:rPr>
      </w:pPr>
      <w:r w:rsidRPr="00193E58">
        <w:rPr>
          <w:b/>
          <w:sz w:val="24"/>
          <w:szCs w:val="24"/>
        </w:rPr>
        <w:t>6. Проверяемый период деятельности</w:t>
      </w:r>
      <w:r w:rsidR="00193E58" w:rsidRPr="00193E58">
        <w:rPr>
          <w:b/>
          <w:sz w:val="24"/>
          <w:szCs w:val="24"/>
        </w:rPr>
        <w:t xml:space="preserve">: </w:t>
      </w:r>
      <w:r w:rsidR="00193E58" w:rsidRPr="00193E58">
        <w:rPr>
          <w:sz w:val="24"/>
          <w:szCs w:val="24"/>
        </w:rPr>
        <w:t>2021 год, текущий период 2022 года.</w:t>
      </w:r>
    </w:p>
    <w:p w:rsidR="00CF73BF" w:rsidRPr="00193E58" w:rsidRDefault="00CF73BF" w:rsidP="00193E58">
      <w:pPr>
        <w:shd w:val="clear" w:color="auto" w:fill="FFFFFF" w:themeFill="background1"/>
        <w:spacing w:line="240" w:lineRule="auto"/>
        <w:rPr>
          <w:b/>
          <w:sz w:val="24"/>
          <w:szCs w:val="24"/>
        </w:rPr>
      </w:pPr>
      <w:r w:rsidRPr="00193E58">
        <w:rPr>
          <w:b/>
          <w:sz w:val="24"/>
          <w:szCs w:val="24"/>
        </w:rPr>
        <w:t xml:space="preserve">7. Краткая характеристика </w:t>
      </w:r>
      <w:r w:rsidR="0050438D" w:rsidRPr="00193E58">
        <w:rPr>
          <w:b/>
          <w:sz w:val="24"/>
          <w:szCs w:val="24"/>
        </w:rPr>
        <w:t>объектов проверки</w:t>
      </w:r>
      <w:r w:rsidRPr="00193E58">
        <w:rPr>
          <w:b/>
          <w:sz w:val="24"/>
          <w:szCs w:val="24"/>
        </w:rPr>
        <w:t>:</w:t>
      </w:r>
    </w:p>
    <w:p w:rsidR="00996C37" w:rsidRPr="00996C37" w:rsidRDefault="0050438D" w:rsidP="00996C37">
      <w:pPr>
        <w:spacing w:line="240" w:lineRule="auto"/>
        <w:rPr>
          <w:b/>
          <w:sz w:val="24"/>
          <w:szCs w:val="24"/>
        </w:rPr>
      </w:pPr>
      <w:r w:rsidRPr="00996C37">
        <w:rPr>
          <w:b/>
          <w:sz w:val="24"/>
          <w:szCs w:val="24"/>
        </w:rPr>
        <w:t xml:space="preserve">7.1. </w:t>
      </w:r>
      <w:r w:rsidR="00996C37" w:rsidRPr="00996C37">
        <w:rPr>
          <w:b/>
          <w:sz w:val="24"/>
          <w:szCs w:val="24"/>
        </w:rPr>
        <w:t>Муниципальное учреждени</w:t>
      </w:r>
      <w:r w:rsidR="0097642A">
        <w:rPr>
          <w:b/>
          <w:sz w:val="24"/>
          <w:szCs w:val="24"/>
        </w:rPr>
        <w:t xml:space="preserve">е дополнительного образования </w:t>
      </w:r>
      <w:r w:rsidR="00996C37" w:rsidRPr="00996C37">
        <w:rPr>
          <w:b/>
          <w:sz w:val="24"/>
          <w:szCs w:val="24"/>
        </w:rPr>
        <w:t>«Детско-юношеская спортивная школа»</w:t>
      </w:r>
    </w:p>
    <w:p w:rsidR="00996C37" w:rsidRPr="00996C37" w:rsidRDefault="00996C37" w:rsidP="00996C37">
      <w:pPr>
        <w:spacing w:line="240" w:lineRule="auto"/>
        <w:rPr>
          <w:sz w:val="24"/>
          <w:szCs w:val="24"/>
        </w:rPr>
      </w:pPr>
      <w:r w:rsidRPr="00996C37">
        <w:rPr>
          <w:sz w:val="24"/>
          <w:szCs w:val="24"/>
        </w:rPr>
        <w:t>Полное и сокращенное наименование объекта: Муниципальное учреждени</w:t>
      </w:r>
      <w:r w:rsidR="0097642A">
        <w:rPr>
          <w:sz w:val="24"/>
          <w:szCs w:val="24"/>
        </w:rPr>
        <w:t xml:space="preserve">е дополнительного образования </w:t>
      </w:r>
      <w:r w:rsidRPr="00996C37">
        <w:rPr>
          <w:sz w:val="24"/>
          <w:szCs w:val="24"/>
        </w:rPr>
        <w:t>«Детско-юношеская спортивная школа», сокращенное наименование  - МУ «ДЮСШ». ИНН 5071003864, КПП 507101001, ОГРН 1025007374050</w:t>
      </w:r>
    </w:p>
    <w:p w:rsidR="00996C37" w:rsidRPr="00996C37" w:rsidRDefault="00996C37" w:rsidP="00996C37">
      <w:pPr>
        <w:spacing w:line="240" w:lineRule="auto"/>
        <w:rPr>
          <w:sz w:val="24"/>
          <w:szCs w:val="24"/>
        </w:rPr>
      </w:pPr>
      <w:r w:rsidRPr="00996C37">
        <w:rPr>
          <w:sz w:val="24"/>
          <w:szCs w:val="24"/>
        </w:rPr>
        <w:t>Юридический адрес и местонахождение: п. Лотошино, ул. Центральная, д.22.</w:t>
      </w:r>
    </w:p>
    <w:p w:rsidR="00996C37" w:rsidRPr="00996C37" w:rsidRDefault="00996C37" w:rsidP="00996C37">
      <w:pPr>
        <w:spacing w:line="240" w:lineRule="auto"/>
        <w:rPr>
          <w:sz w:val="24"/>
          <w:szCs w:val="24"/>
        </w:rPr>
      </w:pPr>
      <w:r w:rsidRPr="00996C37">
        <w:rPr>
          <w:sz w:val="24"/>
          <w:szCs w:val="24"/>
        </w:rPr>
        <w:lastRenderedPageBreak/>
        <w:t>Учредителем Учреждения и собственником имущества Учреждения является муниципальное образование «Городской округ Лотошино Московской области».</w:t>
      </w:r>
    </w:p>
    <w:p w:rsidR="00996C37" w:rsidRPr="00996C37" w:rsidRDefault="00996C37" w:rsidP="00996C37">
      <w:pPr>
        <w:spacing w:line="240" w:lineRule="auto"/>
        <w:rPr>
          <w:sz w:val="24"/>
          <w:szCs w:val="24"/>
        </w:rPr>
      </w:pPr>
      <w:r w:rsidRPr="00996C37">
        <w:rPr>
          <w:sz w:val="24"/>
          <w:szCs w:val="24"/>
        </w:rPr>
        <w:t>Функции и полномочия учредителя, собственника имущества, находящегося в оперативном управлении Учреждения, от имени муниципального образования «Городской округ Лотошино», осуществляет администрация городского округа Лотошино Московской области (далее – учредитель).</w:t>
      </w:r>
    </w:p>
    <w:p w:rsidR="00996C37" w:rsidRPr="00996C37" w:rsidRDefault="00996C37" w:rsidP="00996C37">
      <w:pPr>
        <w:spacing w:line="240" w:lineRule="auto"/>
        <w:rPr>
          <w:sz w:val="24"/>
          <w:szCs w:val="24"/>
        </w:rPr>
      </w:pPr>
      <w:r w:rsidRPr="00996C37">
        <w:rPr>
          <w:sz w:val="24"/>
          <w:szCs w:val="24"/>
        </w:rPr>
        <w:t>Отдельные функции и полномочия учредителя и собственника имущества в соответствии с положениями об органах администрации городского округа Лотошино, осуществляют отдел по образованию администрации городского округа Лотошино, комитет по управлению имуществом администрации городского округа Лотошино и иные органы администрации городского округа Лотошино в соответствии со своей компетенцией.</w:t>
      </w:r>
    </w:p>
    <w:p w:rsidR="00996C37" w:rsidRPr="00996C37" w:rsidRDefault="00996C37" w:rsidP="00996C37">
      <w:pPr>
        <w:spacing w:line="240" w:lineRule="auto"/>
        <w:rPr>
          <w:sz w:val="24"/>
          <w:szCs w:val="24"/>
        </w:rPr>
      </w:pPr>
      <w:r w:rsidRPr="00996C37">
        <w:rPr>
          <w:sz w:val="24"/>
          <w:szCs w:val="24"/>
        </w:rPr>
        <w:t>Учреждение является некоммерческой организацией созданной в целях реализации предусмотренных законодательством Российской Федерации полномочий органов местного самоуправления по решению вопросов местного значения в сфере образования: организация предоставления дополнительного образования детей в муниципальных образовательных организациях.</w:t>
      </w:r>
    </w:p>
    <w:p w:rsidR="00996C37" w:rsidRPr="00996C37" w:rsidRDefault="00996C37" w:rsidP="00996C37">
      <w:pPr>
        <w:spacing w:line="240" w:lineRule="auto"/>
        <w:rPr>
          <w:sz w:val="24"/>
          <w:szCs w:val="24"/>
        </w:rPr>
      </w:pPr>
      <w:r w:rsidRPr="00996C37">
        <w:rPr>
          <w:sz w:val="24"/>
          <w:szCs w:val="24"/>
        </w:rPr>
        <w:t>Организационно-правовая форма Учреждения – муниципальное казенное учреждение.</w:t>
      </w:r>
    </w:p>
    <w:p w:rsidR="00996C37" w:rsidRPr="00996C37" w:rsidRDefault="00996C37" w:rsidP="00996C37">
      <w:pPr>
        <w:spacing w:line="240" w:lineRule="auto"/>
        <w:rPr>
          <w:sz w:val="24"/>
          <w:szCs w:val="24"/>
        </w:rPr>
      </w:pPr>
      <w:r w:rsidRPr="00996C37">
        <w:rPr>
          <w:sz w:val="24"/>
          <w:szCs w:val="24"/>
        </w:rPr>
        <w:t xml:space="preserve"> Предметом деятельности Учреждения является оказание муниципальных услуг в сфере образования.</w:t>
      </w:r>
    </w:p>
    <w:p w:rsidR="00996C37" w:rsidRPr="00996C37" w:rsidRDefault="00996C37" w:rsidP="00996C37">
      <w:pPr>
        <w:spacing w:line="240" w:lineRule="auto"/>
        <w:rPr>
          <w:sz w:val="24"/>
          <w:szCs w:val="24"/>
        </w:rPr>
      </w:pPr>
      <w:r w:rsidRPr="00996C37">
        <w:rPr>
          <w:sz w:val="24"/>
          <w:szCs w:val="24"/>
        </w:rPr>
        <w:t>Основной целью деятельности Учреждения является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w:t>
      </w:r>
    </w:p>
    <w:p w:rsidR="00996C37" w:rsidRPr="00996C37" w:rsidRDefault="00996C37" w:rsidP="00996C37">
      <w:pPr>
        <w:spacing w:line="240" w:lineRule="auto"/>
        <w:rPr>
          <w:sz w:val="24"/>
          <w:szCs w:val="24"/>
        </w:rPr>
      </w:pPr>
      <w:r w:rsidRPr="00996C37">
        <w:rPr>
          <w:sz w:val="24"/>
          <w:szCs w:val="24"/>
        </w:rPr>
        <w:t xml:space="preserve">Основным видом деятельности  Учреждения, непосредственно направленным  на достижение поставленных целей, является реализация  дополнительных общеобразовательных программ в области физической культуры и спорта. </w:t>
      </w:r>
    </w:p>
    <w:p w:rsidR="00996C37" w:rsidRPr="00996C37" w:rsidRDefault="00996C37" w:rsidP="00996C37">
      <w:pPr>
        <w:spacing w:line="240" w:lineRule="auto"/>
        <w:rPr>
          <w:sz w:val="24"/>
          <w:szCs w:val="24"/>
        </w:rPr>
      </w:pPr>
      <w:r w:rsidRPr="00996C37">
        <w:rPr>
          <w:sz w:val="24"/>
          <w:szCs w:val="24"/>
        </w:rPr>
        <w:t xml:space="preserve"> Учреждение самостоятельно осуществляет образовательный процесс.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самостоятельно. </w:t>
      </w:r>
    </w:p>
    <w:p w:rsidR="00996C37" w:rsidRPr="00996C37" w:rsidRDefault="00996C37" w:rsidP="00996C37">
      <w:pPr>
        <w:spacing w:line="240" w:lineRule="auto"/>
        <w:rPr>
          <w:sz w:val="24"/>
          <w:szCs w:val="24"/>
        </w:rPr>
      </w:pPr>
      <w:r w:rsidRPr="00996C37">
        <w:rPr>
          <w:sz w:val="24"/>
          <w:szCs w:val="24"/>
        </w:rPr>
        <w:t>Учреждение реализует дополнительные общеобразовательные программы для детей.</w:t>
      </w:r>
    </w:p>
    <w:p w:rsidR="00996C37" w:rsidRPr="00996C37" w:rsidRDefault="00996C37" w:rsidP="00996C37">
      <w:pPr>
        <w:spacing w:line="240" w:lineRule="auto"/>
        <w:rPr>
          <w:sz w:val="24"/>
          <w:szCs w:val="24"/>
        </w:rPr>
      </w:pPr>
      <w:r w:rsidRPr="00996C37">
        <w:rPr>
          <w:sz w:val="24"/>
          <w:szCs w:val="24"/>
        </w:rPr>
        <w:t>Учреждение прошло государственную аккредитацию (свидетельство о государственной аккредитации АА 148862 №1362 от 18.04.2007 года), по результатам которой ему установлен государственный статус образовательное учреждение дополнительного образования детей детско-юношеская спортивна школа третьей категории.</w:t>
      </w:r>
    </w:p>
    <w:p w:rsidR="00996C37" w:rsidRPr="00996C37" w:rsidRDefault="00996C37" w:rsidP="00996C37">
      <w:pPr>
        <w:spacing w:line="240" w:lineRule="auto"/>
        <w:rPr>
          <w:sz w:val="24"/>
          <w:szCs w:val="24"/>
        </w:rPr>
      </w:pPr>
      <w:r w:rsidRPr="00996C37">
        <w:rPr>
          <w:sz w:val="24"/>
          <w:szCs w:val="24"/>
        </w:rPr>
        <w:t xml:space="preserve">У Учреждения имеется лицензия  Министерства образования Московской области на осуществление образовательной деятельности №75942 от 29.06.2016 года по направлению «дополнительное образование детей и взрослых». </w:t>
      </w:r>
    </w:p>
    <w:p w:rsidR="00996C37" w:rsidRPr="00996C37" w:rsidRDefault="00996C37" w:rsidP="00996C37">
      <w:pPr>
        <w:spacing w:line="240" w:lineRule="auto"/>
        <w:rPr>
          <w:sz w:val="24"/>
          <w:szCs w:val="24"/>
        </w:rPr>
      </w:pPr>
      <w:r w:rsidRPr="00996C37">
        <w:rPr>
          <w:sz w:val="24"/>
          <w:szCs w:val="24"/>
        </w:rPr>
        <w:t>Директором МУ «ДЮСШ» является Яшкин И.И. с 13.01.2020 года  по настоящее время (приказ отдела по образованию администрации городского округа Лотошино №02-к от 13.01.2020 года).</w:t>
      </w:r>
    </w:p>
    <w:p w:rsidR="00996C37" w:rsidRPr="00996C37" w:rsidRDefault="00996C37" w:rsidP="00996C37">
      <w:pPr>
        <w:spacing w:line="240" w:lineRule="auto"/>
        <w:rPr>
          <w:sz w:val="24"/>
          <w:szCs w:val="24"/>
        </w:rPr>
      </w:pPr>
      <w:r w:rsidRPr="00996C37">
        <w:rPr>
          <w:sz w:val="24"/>
          <w:szCs w:val="24"/>
        </w:rPr>
        <w:t xml:space="preserve">Бухгалтерское обслуживание Учреждения осуществляется муниципальным казенным учреждением «Централизованная бухгалтерия муниципальных учреждений городского округа Лотошино» (далее – МУ «ЦБМУ») на основании договора на </w:t>
      </w:r>
      <w:r w:rsidRPr="00996C37">
        <w:rPr>
          <w:sz w:val="24"/>
          <w:szCs w:val="24"/>
        </w:rPr>
        <w:lastRenderedPageBreak/>
        <w:t>бухгалтерское обслуживание №12 от 10.01.2022 года (ранее договор № 12 от 13.01.2020 года).</w:t>
      </w:r>
    </w:p>
    <w:p w:rsidR="00883826" w:rsidRPr="00996C37" w:rsidRDefault="0050438D" w:rsidP="00883826">
      <w:pPr>
        <w:spacing w:line="240" w:lineRule="auto"/>
        <w:ind w:right="-1"/>
        <w:rPr>
          <w:rFonts w:eastAsiaTheme="minorEastAsia"/>
          <w:b/>
          <w:sz w:val="24"/>
          <w:szCs w:val="24"/>
        </w:rPr>
      </w:pPr>
      <w:r w:rsidRPr="00996C37">
        <w:rPr>
          <w:b/>
          <w:sz w:val="24"/>
          <w:szCs w:val="24"/>
        </w:rPr>
        <w:t xml:space="preserve">7.2. </w:t>
      </w:r>
      <w:r w:rsidR="00883826" w:rsidRPr="00996C37">
        <w:rPr>
          <w:rFonts w:eastAsiaTheme="minorEastAsia"/>
          <w:b/>
          <w:sz w:val="24"/>
          <w:szCs w:val="24"/>
        </w:rPr>
        <w:t>Отдел по образованию администрации  городского округа Лотошино.</w:t>
      </w:r>
    </w:p>
    <w:p w:rsidR="00883826" w:rsidRPr="00996C37" w:rsidRDefault="00883826" w:rsidP="00883826">
      <w:pPr>
        <w:autoSpaceDE w:val="0"/>
        <w:autoSpaceDN w:val="0"/>
        <w:adjustRightInd w:val="0"/>
        <w:spacing w:line="240" w:lineRule="auto"/>
        <w:ind w:right="-1"/>
        <w:rPr>
          <w:rFonts w:eastAsiaTheme="minorEastAsia"/>
          <w:sz w:val="24"/>
          <w:szCs w:val="24"/>
          <w:lang w:eastAsia="en-US"/>
        </w:rPr>
      </w:pPr>
      <w:r w:rsidRPr="00996C37">
        <w:rPr>
          <w:rFonts w:eastAsiaTheme="minorEastAsia"/>
          <w:sz w:val="24"/>
          <w:szCs w:val="24"/>
        </w:rPr>
        <w:t xml:space="preserve">Отдел по образованию </w:t>
      </w:r>
      <w:r w:rsidRPr="00996C37">
        <w:rPr>
          <w:rFonts w:eastAsiaTheme="minorEastAsia"/>
          <w:iCs/>
          <w:sz w:val="24"/>
          <w:szCs w:val="24"/>
        </w:rPr>
        <w:t>администрации Городского округа Лотошино</w:t>
      </w:r>
      <w:r w:rsidRPr="00996C37">
        <w:rPr>
          <w:rFonts w:eastAsiaTheme="minorEastAsia"/>
          <w:sz w:val="24"/>
          <w:szCs w:val="24"/>
        </w:rPr>
        <w:t xml:space="preserve"> (далее – Отдел) является отраслевым органом администрации городского округа Лотошино, осуществляющим деятельность в сфере образования на территории городского округа Лотошино Московской области.</w:t>
      </w:r>
    </w:p>
    <w:p w:rsidR="00883826" w:rsidRPr="00996C37" w:rsidRDefault="00883826" w:rsidP="00883826">
      <w:pPr>
        <w:autoSpaceDE w:val="0"/>
        <w:autoSpaceDN w:val="0"/>
        <w:adjustRightInd w:val="0"/>
        <w:spacing w:line="240" w:lineRule="auto"/>
        <w:ind w:right="-1"/>
        <w:rPr>
          <w:rFonts w:eastAsiaTheme="minorEastAsia"/>
          <w:sz w:val="24"/>
          <w:szCs w:val="24"/>
        </w:rPr>
      </w:pPr>
      <w:r w:rsidRPr="00996C37">
        <w:rPr>
          <w:rFonts w:eastAsiaTheme="minorEastAsia"/>
          <w:sz w:val="24"/>
          <w:szCs w:val="24"/>
        </w:rPr>
        <w:t>На основании решения Совет депутатов городского округа Лотошино от 17.09.2019 года №15/2 «О переименовании Отдела по образованию администрации Лотошинского муниципального района Московской области» Отдел по образованию администрации Лотошинского муниципального района переименован в Отдел по образованию администрации городского округа Лотошино.</w:t>
      </w:r>
    </w:p>
    <w:p w:rsidR="00883826" w:rsidRPr="00996C37" w:rsidRDefault="00883826" w:rsidP="00883826">
      <w:pPr>
        <w:spacing w:line="240" w:lineRule="auto"/>
        <w:ind w:right="-1"/>
        <w:rPr>
          <w:rFonts w:eastAsiaTheme="minorEastAsia"/>
          <w:sz w:val="24"/>
          <w:szCs w:val="24"/>
        </w:rPr>
      </w:pPr>
      <w:r w:rsidRPr="00996C37">
        <w:rPr>
          <w:rFonts w:eastAsiaTheme="minorEastAsia"/>
          <w:sz w:val="24"/>
          <w:szCs w:val="24"/>
        </w:rPr>
        <w:t xml:space="preserve">Отдел является юридическим лицом. </w:t>
      </w:r>
    </w:p>
    <w:p w:rsidR="00883826" w:rsidRPr="00996C37" w:rsidRDefault="00883826" w:rsidP="00883826">
      <w:pPr>
        <w:autoSpaceDE w:val="0"/>
        <w:autoSpaceDN w:val="0"/>
        <w:adjustRightInd w:val="0"/>
        <w:spacing w:line="240" w:lineRule="auto"/>
        <w:ind w:right="-1"/>
        <w:rPr>
          <w:rFonts w:eastAsiaTheme="minorEastAsia"/>
          <w:iCs/>
          <w:sz w:val="24"/>
          <w:szCs w:val="24"/>
        </w:rPr>
      </w:pPr>
      <w:r w:rsidRPr="00996C37">
        <w:rPr>
          <w:rFonts w:eastAsiaTheme="minorEastAsia"/>
          <w:sz w:val="24"/>
          <w:szCs w:val="24"/>
        </w:rPr>
        <w:t xml:space="preserve">Полное наименование: отдел по образованию </w:t>
      </w:r>
      <w:r w:rsidRPr="00996C37">
        <w:rPr>
          <w:rFonts w:eastAsiaTheme="minorEastAsia"/>
          <w:iCs/>
          <w:sz w:val="24"/>
          <w:szCs w:val="24"/>
        </w:rPr>
        <w:t xml:space="preserve"> администрации городского округа Лотошино Московской области.</w:t>
      </w:r>
    </w:p>
    <w:p w:rsidR="00883826" w:rsidRPr="00996C37" w:rsidRDefault="00883826" w:rsidP="00883826">
      <w:pPr>
        <w:autoSpaceDE w:val="0"/>
        <w:autoSpaceDN w:val="0"/>
        <w:adjustRightInd w:val="0"/>
        <w:spacing w:line="240" w:lineRule="auto"/>
        <w:ind w:right="-1"/>
        <w:rPr>
          <w:rFonts w:eastAsiaTheme="minorEastAsia"/>
          <w:iCs/>
          <w:sz w:val="24"/>
          <w:szCs w:val="24"/>
        </w:rPr>
      </w:pPr>
      <w:r w:rsidRPr="00996C37">
        <w:rPr>
          <w:rFonts w:eastAsiaTheme="minorEastAsia"/>
          <w:iCs/>
          <w:sz w:val="24"/>
          <w:szCs w:val="24"/>
        </w:rPr>
        <w:t>Сокращенное наименование: отдел  по образованию  городского округа  Лотошино.</w:t>
      </w:r>
    </w:p>
    <w:p w:rsidR="00883826" w:rsidRPr="00996C37" w:rsidRDefault="00883826" w:rsidP="00883826">
      <w:pPr>
        <w:autoSpaceDE w:val="0"/>
        <w:autoSpaceDN w:val="0"/>
        <w:adjustRightInd w:val="0"/>
        <w:spacing w:line="240" w:lineRule="auto"/>
        <w:rPr>
          <w:rFonts w:eastAsiaTheme="minorEastAsia"/>
          <w:iCs/>
          <w:sz w:val="24"/>
          <w:szCs w:val="24"/>
        </w:rPr>
      </w:pPr>
      <w:r w:rsidRPr="00996C37">
        <w:rPr>
          <w:rFonts w:eastAsiaTheme="minorEastAsia"/>
          <w:iCs/>
          <w:sz w:val="24"/>
          <w:szCs w:val="24"/>
        </w:rPr>
        <w:t>Место нахождения (юридический адрес) Отдела: 143800, Московская область, рп. Лотошино, ул. Центральная, дом 18. ИНН 5071002349.</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Отделу подведомственны муниципальные образовательные организации</w:t>
      </w:r>
      <w:r w:rsidRPr="00996C37">
        <w:rPr>
          <w:rFonts w:eastAsiaTheme="minorEastAsia"/>
          <w:bCs/>
          <w:sz w:val="24"/>
          <w:szCs w:val="24"/>
        </w:rPr>
        <w:t xml:space="preserve"> городского округа Лотошино</w:t>
      </w:r>
      <w:r w:rsidRPr="00996C37">
        <w:rPr>
          <w:rFonts w:eastAsiaTheme="minorEastAsia"/>
          <w:sz w:val="24"/>
          <w:szCs w:val="24"/>
        </w:rPr>
        <w:t>, за исключением муниципального учреждения дополнительного образования «Лотошинская детская школа и</w:t>
      </w:r>
      <w:r w:rsidR="004A566C" w:rsidRPr="00996C37">
        <w:rPr>
          <w:rFonts w:eastAsiaTheme="minorEastAsia"/>
          <w:sz w:val="24"/>
          <w:szCs w:val="24"/>
        </w:rPr>
        <w:t>скусств», находящегося в ведении</w:t>
      </w:r>
      <w:r w:rsidRPr="00996C37">
        <w:rPr>
          <w:rFonts w:eastAsiaTheme="minorEastAsia"/>
          <w:sz w:val="24"/>
          <w:szCs w:val="24"/>
        </w:rPr>
        <w:t xml:space="preserve">  органа администрации</w:t>
      </w:r>
      <w:r w:rsidRPr="00996C37">
        <w:rPr>
          <w:rFonts w:eastAsiaTheme="minorEastAsia"/>
          <w:bCs/>
          <w:sz w:val="24"/>
          <w:szCs w:val="24"/>
        </w:rPr>
        <w:t xml:space="preserve"> городского округа Лотошино</w:t>
      </w:r>
      <w:r w:rsidRPr="00996C37">
        <w:rPr>
          <w:rFonts w:eastAsiaTheme="minorEastAsia"/>
          <w:sz w:val="24"/>
          <w:szCs w:val="24"/>
        </w:rPr>
        <w:t xml:space="preserve">, ведущего вопросы культуры. </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 xml:space="preserve"> Отдел создан для реализации мер в области регулирования отношений в сфере образования, направленных на развитие муниципальной системы образования</w:t>
      </w:r>
      <w:r w:rsidRPr="00996C37">
        <w:rPr>
          <w:rFonts w:eastAsiaTheme="minorEastAsia"/>
          <w:bCs/>
          <w:sz w:val="24"/>
          <w:szCs w:val="24"/>
        </w:rPr>
        <w:t xml:space="preserve"> городского округа Лотошино</w:t>
      </w:r>
      <w:r w:rsidRPr="00996C37">
        <w:rPr>
          <w:rFonts w:eastAsiaTheme="minorEastAsia"/>
          <w:sz w:val="24"/>
          <w:szCs w:val="24"/>
        </w:rPr>
        <w:t>, а также организации отдыха детей в каникулярное время.</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Основными задачами Отдела являются:</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а) в условиях функционирования муниципальной системы образования</w:t>
      </w:r>
      <w:r w:rsidRPr="00996C37">
        <w:rPr>
          <w:rFonts w:eastAsiaTheme="minorEastAsia"/>
          <w:bCs/>
          <w:sz w:val="24"/>
          <w:szCs w:val="24"/>
        </w:rPr>
        <w:t xml:space="preserve"> городского округа Лотошино</w:t>
      </w:r>
      <w:r w:rsidRPr="00996C37">
        <w:rPr>
          <w:rFonts w:eastAsiaTheme="minorEastAsia"/>
          <w:sz w:val="24"/>
          <w:szCs w:val="24"/>
        </w:rPr>
        <w:t>:</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реализация права на образование, обеспечение государственных гарантий прав и свобод человека в сфере образования и создание условий для реализации права на образование;</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обеспечение доступности качественного образования;</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сохранение и развитие единого образовательного пространства;</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участие общественных институтов в управлении образованием;</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реализация и защита прав и законных интересов ребенка;</w:t>
      </w:r>
    </w:p>
    <w:p w:rsidR="00883826" w:rsidRPr="00996C37" w:rsidRDefault="00883826" w:rsidP="00883826">
      <w:pPr>
        <w:widowControl w:val="0"/>
        <w:autoSpaceDE w:val="0"/>
        <w:autoSpaceDN w:val="0"/>
        <w:adjustRightInd w:val="0"/>
        <w:spacing w:line="240" w:lineRule="auto"/>
        <w:rPr>
          <w:rFonts w:eastAsiaTheme="minorEastAsia"/>
          <w:sz w:val="24"/>
          <w:szCs w:val="24"/>
        </w:rPr>
      </w:pPr>
      <w:r w:rsidRPr="00996C37">
        <w:rPr>
          <w:rFonts w:eastAsiaTheme="minorEastAsia"/>
          <w:sz w:val="24"/>
          <w:szCs w:val="24"/>
        </w:rPr>
        <w:t>б) создание условий для эффективного функционирования подведомственных Отделу муниципальных образовательных организаций</w:t>
      </w:r>
      <w:r w:rsidRPr="00996C37">
        <w:rPr>
          <w:rFonts w:eastAsiaTheme="minorEastAsia"/>
          <w:bCs/>
          <w:sz w:val="24"/>
          <w:szCs w:val="24"/>
        </w:rPr>
        <w:t xml:space="preserve"> городского округа Лотошино</w:t>
      </w:r>
      <w:r w:rsidRPr="00996C37">
        <w:rPr>
          <w:rFonts w:eastAsiaTheme="minorEastAsia"/>
          <w:sz w:val="24"/>
          <w:szCs w:val="24"/>
        </w:rPr>
        <w:t>.</w:t>
      </w:r>
    </w:p>
    <w:p w:rsidR="00883826" w:rsidRPr="00996C37" w:rsidRDefault="00883826" w:rsidP="00883826">
      <w:pPr>
        <w:autoSpaceDE w:val="0"/>
        <w:autoSpaceDN w:val="0"/>
        <w:adjustRightInd w:val="0"/>
        <w:spacing w:line="240" w:lineRule="auto"/>
        <w:ind w:right="-1"/>
        <w:rPr>
          <w:rFonts w:eastAsiaTheme="minorEastAsia"/>
          <w:iCs/>
          <w:sz w:val="24"/>
          <w:szCs w:val="24"/>
        </w:rPr>
      </w:pPr>
    </w:p>
    <w:p w:rsidR="00883826" w:rsidRPr="00996C37" w:rsidRDefault="00883826" w:rsidP="00883826">
      <w:pPr>
        <w:spacing w:line="240" w:lineRule="auto"/>
        <w:ind w:right="-1"/>
        <w:rPr>
          <w:rFonts w:eastAsiaTheme="minorEastAsia"/>
          <w:sz w:val="24"/>
          <w:szCs w:val="24"/>
        </w:rPr>
      </w:pPr>
      <w:r w:rsidRPr="00996C37">
        <w:rPr>
          <w:rFonts w:eastAsiaTheme="minorEastAsia"/>
          <w:sz w:val="24"/>
          <w:szCs w:val="24"/>
        </w:rPr>
        <w:t xml:space="preserve">В проверяемом периоде заведующим Отделом по образованию администрации городского округа Лотошино (администрации Лотошинского муниципального района) являлась  Занчурина М.В. с 11.01.2018 года  по 31.01.2020 года (распоряжение Главы Лотошинского муниципального района  от 11.01.2018 года №1-рк). Распоряжением Главы городского округа Лотошино от 31.01.2020 №31-рк-лс Занчурина М.В. переведена на должность начальника отдела по образованию администрации городского округа Лотошино с 01.02.2020 года, работает по настоящее время. </w:t>
      </w:r>
    </w:p>
    <w:p w:rsidR="0050438D" w:rsidRPr="00193E58" w:rsidRDefault="0050438D" w:rsidP="002318E4">
      <w:pPr>
        <w:spacing w:line="240" w:lineRule="auto"/>
        <w:ind w:right="-1"/>
        <w:rPr>
          <w:color w:val="FF0000"/>
          <w:sz w:val="24"/>
          <w:szCs w:val="24"/>
          <w:shd w:val="clear" w:color="auto" w:fill="FFFFFF"/>
        </w:rPr>
      </w:pPr>
    </w:p>
    <w:p w:rsidR="00883826" w:rsidRPr="00996C37" w:rsidRDefault="00FC1711" w:rsidP="00883826">
      <w:pPr>
        <w:spacing w:line="240" w:lineRule="auto"/>
        <w:ind w:right="-1"/>
        <w:rPr>
          <w:rFonts w:eastAsiaTheme="minorEastAsia"/>
          <w:b/>
          <w:sz w:val="24"/>
          <w:szCs w:val="24"/>
        </w:rPr>
      </w:pPr>
      <w:r w:rsidRPr="00996C37">
        <w:rPr>
          <w:b/>
          <w:sz w:val="24"/>
          <w:szCs w:val="24"/>
        </w:rPr>
        <w:t xml:space="preserve">7.3. </w:t>
      </w:r>
      <w:r w:rsidR="00883826" w:rsidRPr="00996C37">
        <w:rPr>
          <w:rFonts w:eastAsiaTheme="minorEastAsia"/>
          <w:b/>
          <w:sz w:val="24"/>
          <w:szCs w:val="24"/>
        </w:rPr>
        <w:t xml:space="preserve">Муниципальное учреждение «Централизованная бухгалтерия муниципальных учреждений городского округа Лотошино» </w:t>
      </w:r>
    </w:p>
    <w:p w:rsidR="00883826" w:rsidRPr="00996C37" w:rsidRDefault="00883826" w:rsidP="00883826">
      <w:pPr>
        <w:spacing w:line="240" w:lineRule="auto"/>
        <w:ind w:right="-1"/>
        <w:rPr>
          <w:rFonts w:eastAsiaTheme="minorEastAsia"/>
          <w:sz w:val="24"/>
          <w:szCs w:val="24"/>
        </w:rPr>
      </w:pPr>
      <w:r w:rsidRPr="00996C37">
        <w:rPr>
          <w:rFonts w:eastAsiaTheme="minorEastAsia"/>
          <w:sz w:val="24"/>
          <w:szCs w:val="24"/>
        </w:rPr>
        <w:t xml:space="preserve">Муниципальное учреждение «Централизованная бухгалтерия муниципальных учреждений городского округа Лотошино» (далее – МУ ЦБМУ) является некоммерческой </w:t>
      </w:r>
      <w:r w:rsidRPr="00996C37">
        <w:rPr>
          <w:rFonts w:eastAsiaTheme="minorEastAsia"/>
          <w:sz w:val="24"/>
          <w:szCs w:val="24"/>
        </w:rPr>
        <w:lastRenderedPageBreak/>
        <w:t>организацией, созданной для оказания муниципальных услуг, выполнения работ,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883826" w:rsidRPr="00996C37" w:rsidRDefault="00883826" w:rsidP="00883826">
      <w:pPr>
        <w:spacing w:line="240" w:lineRule="auto"/>
        <w:ind w:right="-1"/>
        <w:rPr>
          <w:rFonts w:eastAsiaTheme="minorEastAsia"/>
          <w:sz w:val="24"/>
          <w:szCs w:val="24"/>
        </w:rPr>
      </w:pPr>
      <w:r w:rsidRPr="00996C37">
        <w:rPr>
          <w:rFonts w:eastAsiaTheme="minorEastAsia"/>
          <w:sz w:val="24"/>
          <w:szCs w:val="24"/>
        </w:rPr>
        <w:t>Учредителем и собственником имущества Муниципального учреждения «Централизованная бухгалтерия муниципальных учреждений городского округа Лотошино» является муниципальное образование «Городской округ Лотошино» в лице администрации Городского округа Лотошино.</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rPr>
        <w:t xml:space="preserve">Учреждению присвоены ИНН 5004027387, КПП 507101001, ОГРН </w:t>
      </w:r>
      <w:r w:rsidRPr="00996C37">
        <w:rPr>
          <w:rFonts w:eastAsiaTheme="minorEastAsia"/>
          <w:sz w:val="24"/>
          <w:szCs w:val="24"/>
          <w:shd w:val="clear" w:color="auto" w:fill="FFFFFF"/>
        </w:rPr>
        <w:t>1155004001272 .</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shd w:val="clear" w:color="auto" w:fill="FFFFFF"/>
        </w:rPr>
        <w:t>Организационно-правовая форма Учреждения: муниципальное казенное учреждение.</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shd w:val="clear" w:color="auto" w:fill="FFFFFF"/>
        </w:rPr>
        <w:t>Основной целью деятельности Учреждения является ведение бухгалтерского (бюджетного) учета и отчетности муниципальных учреждений городского округа Лотошино, передавших функции по ведению бухгалтерского (бюджетного) и налогового учета на договорных началах Учреждению.</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shd w:val="clear" w:color="auto" w:fill="FFFFFF"/>
        </w:rPr>
        <w:t>Директором МУ ЦБМУ в проверяемом периоде являлась Иванова Т.В. с 01.01.2016 года (Распоряжение Главы Лотошинского муниципального района №416-рк от 10.11.2015 года с учетом изменений, внесенных распоряжением №444-рк от 31.12.2015 года) по настоящее время.</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shd w:val="clear" w:color="auto" w:fill="FFFFFF"/>
        </w:rPr>
        <w:t>Главным бухгалтером:</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shd w:val="clear" w:color="auto" w:fill="FFFFFF"/>
        </w:rPr>
        <w:t>- Лошкарева Г.В. с 05.03.2019 года (приказ по учреждению №8 от 05.03.2019 года).</w:t>
      </w:r>
    </w:p>
    <w:p w:rsidR="00883826" w:rsidRPr="00996C37" w:rsidRDefault="00883826" w:rsidP="00883826">
      <w:pPr>
        <w:spacing w:line="240" w:lineRule="auto"/>
        <w:ind w:right="-1"/>
        <w:rPr>
          <w:rFonts w:eastAsiaTheme="minorEastAsia"/>
          <w:sz w:val="24"/>
          <w:szCs w:val="24"/>
          <w:shd w:val="clear" w:color="auto" w:fill="FFFFFF"/>
        </w:rPr>
      </w:pPr>
      <w:r w:rsidRPr="00996C37">
        <w:rPr>
          <w:rFonts w:eastAsiaTheme="minorEastAsia"/>
          <w:sz w:val="24"/>
          <w:szCs w:val="24"/>
          <w:shd w:val="clear" w:color="auto" w:fill="FFFFFF"/>
        </w:rPr>
        <w:t>В проверяемом периоде в связи с отпуском по беременности и родам Лошкаревой Г.В. обязанности главного бухгалтера приказом МУ ЦБМУ от 15.06.2021 года №38/1 возложены на Иванову Т.В.</w:t>
      </w:r>
    </w:p>
    <w:p w:rsidR="00FC1711" w:rsidRPr="00996C37" w:rsidRDefault="00FC1711" w:rsidP="002318E4">
      <w:pPr>
        <w:spacing w:line="240" w:lineRule="auto"/>
        <w:ind w:right="-1"/>
        <w:rPr>
          <w:sz w:val="24"/>
          <w:szCs w:val="24"/>
        </w:rPr>
      </w:pPr>
    </w:p>
    <w:p w:rsidR="00CF73BF" w:rsidRPr="00996C37" w:rsidRDefault="00CF73BF" w:rsidP="00CF73BF">
      <w:pPr>
        <w:spacing w:line="240" w:lineRule="auto"/>
        <w:ind w:right="-1"/>
        <w:rPr>
          <w:sz w:val="24"/>
          <w:szCs w:val="24"/>
        </w:rPr>
      </w:pPr>
      <w:r w:rsidRPr="00996C37">
        <w:rPr>
          <w:sz w:val="24"/>
          <w:szCs w:val="24"/>
        </w:rPr>
        <w:t>Проверка проведена выборочным способом.</w:t>
      </w:r>
    </w:p>
    <w:p w:rsidR="00CF73BF" w:rsidRPr="00193E58" w:rsidRDefault="00CF73BF" w:rsidP="00CF73BF">
      <w:pPr>
        <w:spacing w:line="240" w:lineRule="auto"/>
        <w:ind w:right="-1"/>
        <w:rPr>
          <w:color w:val="FF0000"/>
          <w:sz w:val="24"/>
          <w:szCs w:val="24"/>
        </w:rPr>
      </w:pPr>
    </w:p>
    <w:p w:rsidR="00CF73BF" w:rsidRPr="0097642A" w:rsidRDefault="00CF73BF" w:rsidP="00CF73BF">
      <w:pPr>
        <w:spacing w:line="240" w:lineRule="auto"/>
        <w:ind w:right="-284"/>
        <w:rPr>
          <w:b/>
          <w:sz w:val="24"/>
          <w:szCs w:val="24"/>
        </w:rPr>
      </w:pPr>
      <w:r w:rsidRPr="0097642A">
        <w:rPr>
          <w:b/>
          <w:sz w:val="24"/>
          <w:szCs w:val="24"/>
        </w:rPr>
        <w:t>8. По результатам проверки установлено следующее.</w:t>
      </w:r>
    </w:p>
    <w:p w:rsidR="00996C37" w:rsidRPr="00996C37" w:rsidRDefault="00996C37" w:rsidP="00996C37">
      <w:pPr>
        <w:spacing w:line="240" w:lineRule="auto"/>
        <w:rPr>
          <w:b/>
          <w:sz w:val="24"/>
          <w:szCs w:val="24"/>
        </w:rPr>
      </w:pPr>
      <w:r w:rsidRPr="00996C37">
        <w:rPr>
          <w:b/>
          <w:sz w:val="24"/>
          <w:szCs w:val="24"/>
        </w:rPr>
        <w:t>По цели 1. Установление законности и результативности использования бюджетных средств, предоставленных из  бюджета городского округа Лотошино на обеспечение деятельности учреждения; анализ состояния финансовой дисциплины по получению и использованию бюджетных средств; определение эффективности деятельности учреждения по использованию бюджетных средств и закрепленного за учреждением муниципального имущества.</w:t>
      </w:r>
    </w:p>
    <w:p w:rsidR="00996C37" w:rsidRPr="00996C37" w:rsidRDefault="00996C37" w:rsidP="00996C37">
      <w:pPr>
        <w:spacing w:line="240" w:lineRule="auto"/>
        <w:rPr>
          <w:b/>
          <w:sz w:val="24"/>
          <w:szCs w:val="24"/>
        </w:rPr>
      </w:pPr>
    </w:p>
    <w:p w:rsidR="00996C37" w:rsidRPr="00996C37" w:rsidRDefault="00996C37" w:rsidP="00996C37">
      <w:pPr>
        <w:pStyle w:val="a8"/>
        <w:numPr>
          <w:ilvl w:val="0"/>
          <w:numId w:val="12"/>
        </w:numPr>
        <w:spacing w:after="0" w:line="240" w:lineRule="auto"/>
        <w:ind w:left="0" w:firstLine="709"/>
        <w:jc w:val="both"/>
        <w:rPr>
          <w:rFonts w:ascii="Times New Roman" w:hAnsi="Times New Roman" w:cs="Times New Roman"/>
          <w:sz w:val="24"/>
          <w:szCs w:val="24"/>
        </w:rPr>
      </w:pPr>
      <w:r w:rsidRPr="00996C37">
        <w:rPr>
          <w:rFonts w:ascii="Times New Roman" w:hAnsi="Times New Roman" w:cs="Times New Roman"/>
          <w:sz w:val="24"/>
          <w:szCs w:val="24"/>
        </w:rPr>
        <w:t xml:space="preserve">В проверяемом периоде Учреждение осуществляло свою деятельность на основании Устава, утвержденного постановлением Главы Лотошинского муниципального района от 03.08.2015 года №781 с учетом изменений, внесенных постановлением Главы городского округа Лотошино №677 от 23.07.2020 года.  </w:t>
      </w:r>
    </w:p>
    <w:p w:rsidR="00996C37" w:rsidRPr="00996C37" w:rsidRDefault="00996C37" w:rsidP="00996C37">
      <w:pPr>
        <w:spacing w:line="240" w:lineRule="auto"/>
        <w:rPr>
          <w:sz w:val="24"/>
          <w:szCs w:val="24"/>
        </w:rPr>
      </w:pPr>
      <w:r w:rsidRPr="00996C37">
        <w:rPr>
          <w:sz w:val="24"/>
          <w:szCs w:val="24"/>
        </w:rPr>
        <w:t>Учреждение осуществляет свою деятельность в целях реализации программ физического воспитания детей и организации физкультурно-спортивной работы по программам дополнительного образования детей.</w:t>
      </w:r>
    </w:p>
    <w:p w:rsidR="00996C37" w:rsidRDefault="00996C37" w:rsidP="00996C37">
      <w:pPr>
        <w:spacing w:line="240" w:lineRule="auto"/>
        <w:rPr>
          <w:sz w:val="24"/>
          <w:szCs w:val="24"/>
        </w:rPr>
      </w:pPr>
      <w:r>
        <w:rPr>
          <w:sz w:val="24"/>
          <w:szCs w:val="24"/>
        </w:rPr>
        <w:t xml:space="preserve">Нормативно-правовое регулирование в сфере образования осуществляется в соответствии со статьями 28-31 </w:t>
      </w:r>
      <w:r w:rsidRPr="002C0A69">
        <w:rPr>
          <w:sz w:val="24"/>
          <w:szCs w:val="24"/>
        </w:rPr>
        <w:t>Федеральн</w:t>
      </w:r>
      <w:r>
        <w:rPr>
          <w:sz w:val="24"/>
          <w:szCs w:val="24"/>
        </w:rPr>
        <w:t>ого</w:t>
      </w:r>
      <w:r w:rsidRPr="002C0A69">
        <w:rPr>
          <w:sz w:val="24"/>
          <w:szCs w:val="24"/>
        </w:rPr>
        <w:t xml:space="preserve"> закон</w:t>
      </w:r>
      <w:r>
        <w:rPr>
          <w:sz w:val="24"/>
          <w:szCs w:val="24"/>
        </w:rPr>
        <w:t>а</w:t>
      </w:r>
      <w:r w:rsidRPr="002C0A69">
        <w:rPr>
          <w:sz w:val="24"/>
          <w:szCs w:val="24"/>
        </w:rPr>
        <w:t xml:space="preserve"> от 29.12.2012</w:t>
      </w:r>
      <w:r>
        <w:rPr>
          <w:sz w:val="24"/>
          <w:szCs w:val="24"/>
        </w:rPr>
        <w:t xml:space="preserve"> года  №</w:t>
      </w:r>
      <w:r w:rsidRPr="002C0A69">
        <w:rPr>
          <w:sz w:val="24"/>
          <w:szCs w:val="24"/>
        </w:rPr>
        <w:t>273-ФЗ (</w:t>
      </w:r>
      <w:r>
        <w:rPr>
          <w:sz w:val="24"/>
          <w:szCs w:val="24"/>
        </w:rPr>
        <w:t>в редакции изменений</w:t>
      </w:r>
      <w:r w:rsidRPr="002C0A69">
        <w:rPr>
          <w:sz w:val="24"/>
          <w:szCs w:val="24"/>
        </w:rPr>
        <w:t>) "Об образовании в Российской Федерации"</w:t>
      </w:r>
      <w:r>
        <w:rPr>
          <w:sz w:val="24"/>
          <w:szCs w:val="24"/>
        </w:rPr>
        <w:t>.</w:t>
      </w:r>
    </w:p>
    <w:p w:rsidR="00996C37" w:rsidRPr="005A7379" w:rsidRDefault="00996C37" w:rsidP="00996C37">
      <w:pPr>
        <w:spacing w:line="240" w:lineRule="auto"/>
        <w:ind w:firstLine="540"/>
        <w:rPr>
          <w:sz w:val="24"/>
          <w:szCs w:val="24"/>
        </w:rPr>
      </w:pPr>
      <w:r w:rsidRPr="005A7379">
        <w:rPr>
          <w:sz w:val="24"/>
          <w:szCs w:val="24"/>
        </w:rPr>
        <w:t xml:space="preserve">В соответствии со </w:t>
      </w:r>
      <w:hyperlink r:id="rId8" w:history="1">
        <w:r w:rsidRPr="005A7379">
          <w:rPr>
            <w:color w:val="0000FF"/>
            <w:sz w:val="24"/>
            <w:szCs w:val="24"/>
          </w:rPr>
          <w:t>статьей</w:t>
        </w:r>
      </w:hyperlink>
      <w:r w:rsidRPr="005A7379">
        <w:rPr>
          <w:sz w:val="24"/>
          <w:szCs w:val="24"/>
        </w:rPr>
        <w:t xml:space="preserve"> 28 Закона "Об образовании" образовательное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rsidR="00996C37" w:rsidRDefault="00996C37" w:rsidP="00996C37">
      <w:pPr>
        <w:spacing w:line="240" w:lineRule="auto"/>
        <w:rPr>
          <w:sz w:val="24"/>
          <w:szCs w:val="24"/>
        </w:rPr>
      </w:pPr>
      <w:r>
        <w:rPr>
          <w:sz w:val="24"/>
          <w:szCs w:val="24"/>
        </w:rPr>
        <w:lastRenderedPageBreak/>
        <w:t>Согласно Устава Учреждение осуществляет образовательный процесс в соответствии с образовательными программами, разработанными и утвержденными Учреждением самостоятельно.</w:t>
      </w:r>
    </w:p>
    <w:p w:rsidR="00996C37" w:rsidRDefault="00996C37" w:rsidP="00996C37">
      <w:pPr>
        <w:spacing w:line="240" w:lineRule="auto"/>
        <w:rPr>
          <w:sz w:val="24"/>
          <w:szCs w:val="24"/>
        </w:rPr>
      </w:pPr>
      <w:r>
        <w:rPr>
          <w:sz w:val="24"/>
          <w:szCs w:val="24"/>
        </w:rPr>
        <w:t xml:space="preserve">Образовательные программы реализуются в области физической культуры и спорта по следующим видам спорта: волейбол, бадминтон, плавание, футбол базовый уровень, шахматы, бокс базовый уровень. </w:t>
      </w:r>
    </w:p>
    <w:p w:rsidR="00996C37" w:rsidRPr="00D73CEC" w:rsidRDefault="00996C37" w:rsidP="00996C37">
      <w:pPr>
        <w:spacing w:line="240" w:lineRule="auto"/>
        <w:rPr>
          <w:sz w:val="24"/>
          <w:szCs w:val="24"/>
        </w:rPr>
      </w:pPr>
      <w:r w:rsidRPr="00D73CEC">
        <w:rPr>
          <w:sz w:val="24"/>
          <w:szCs w:val="24"/>
        </w:rPr>
        <w:t>В Учреждение принимаются дети в возрасте от семи до восемнадцати лет.</w:t>
      </w:r>
    </w:p>
    <w:p w:rsidR="00996C37" w:rsidRPr="00D73CEC" w:rsidRDefault="00996C37" w:rsidP="00996C37">
      <w:pPr>
        <w:spacing w:line="240" w:lineRule="auto"/>
        <w:rPr>
          <w:sz w:val="24"/>
          <w:szCs w:val="24"/>
        </w:rPr>
      </w:pPr>
      <w:r w:rsidRPr="00D73CEC">
        <w:rPr>
          <w:sz w:val="24"/>
          <w:szCs w:val="24"/>
        </w:rPr>
        <w:t>В соответствии с п. 3.4 Устава в ДЮСШ реализация образовательных программ осуществляется по следующим этапам и периодам подготовки:</w:t>
      </w:r>
    </w:p>
    <w:p w:rsidR="00996C37" w:rsidRPr="00D73CEC" w:rsidRDefault="00996C37" w:rsidP="00996C37">
      <w:pPr>
        <w:pStyle w:val="a8"/>
        <w:numPr>
          <w:ilvl w:val="0"/>
          <w:numId w:val="11"/>
        </w:numPr>
        <w:spacing w:after="0" w:line="240" w:lineRule="auto"/>
        <w:ind w:left="0" w:firstLine="709"/>
        <w:jc w:val="both"/>
        <w:rPr>
          <w:rFonts w:ascii="Times New Roman" w:hAnsi="Times New Roman" w:cs="Times New Roman"/>
          <w:sz w:val="24"/>
          <w:szCs w:val="24"/>
        </w:rPr>
      </w:pPr>
      <w:r w:rsidRPr="00D73CEC">
        <w:rPr>
          <w:rFonts w:ascii="Times New Roman" w:hAnsi="Times New Roman" w:cs="Times New Roman"/>
          <w:sz w:val="24"/>
          <w:szCs w:val="24"/>
        </w:rPr>
        <w:t>спортивно-оздоровительный этап (период обучения не ограничен),</w:t>
      </w:r>
    </w:p>
    <w:p w:rsidR="00996C37" w:rsidRPr="00D73CEC" w:rsidRDefault="00996C37" w:rsidP="00996C37">
      <w:pPr>
        <w:pStyle w:val="a8"/>
        <w:numPr>
          <w:ilvl w:val="0"/>
          <w:numId w:val="11"/>
        </w:numPr>
        <w:spacing w:after="0" w:line="240" w:lineRule="auto"/>
        <w:ind w:left="0" w:firstLine="709"/>
        <w:jc w:val="both"/>
        <w:rPr>
          <w:rFonts w:ascii="Times New Roman" w:hAnsi="Times New Roman" w:cs="Times New Roman"/>
          <w:sz w:val="24"/>
          <w:szCs w:val="24"/>
        </w:rPr>
      </w:pPr>
      <w:r w:rsidRPr="00D73CEC">
        <w:rPr>
          <w:rFonts w:ascii="Times New Roman" w:hAnsi="Times New Roman" w:cs="Times New Roman"/>
          <w:sz w:val="24"/>
          <w:szCs w:val="24"/>
        </w:rPr>
        <w:t xml:space="preserve">этап начальной подготовки (периоды: до одного года, свыше одного года), </w:t>
      </w:r>
    </w:p>
    <w:p w:rsidR="00996C37" w:rsidRPr="00D73CEC" w:rsidRDefault="00996C37" w:rsidP="00996C37">
      <w:pPr>
        <w:pStyle w:val="a8"/>
        <w:numPr>
          <w:ilvl w:val="0"/>
          <w:numId w:val="11"/>
        </w:numPr>
        <w:shd w:val="clear" w:color="auto" w:fill="FFFFFF"/>
        <w:spacing w:after="0" w:line="240" w:lineRule="auto"/>
        <w:ind w:left="0" w:firstLine="709"/>
        <w:rPr>
          <w:rFonts w:ascii="Times New Roman" w:hAnsi="Times New Roman" w:cs="Times New Roman"/>
          <w:color w:val="222222"/>
          <w:sz w:val="24"/>
          <w:szCs w:val="24"/>
        </w:rPr>
      </w:pPr>
      <w:r w:rsidRPr="00D73CEC">
        <w:rPr>
          <w:rFonts w:ascii="Times New Roman" w:hAnsi="Times New Roman" w:cs="Times New Roman"/>
          <w:sz w:val="24"/>
          <w:szCs w:val="24"/>
        </w:rPr>
        <w:t>тренировочный этап (этап спортивной специализации) (периоды: начальной специализации, углубленной специализации).</w:t>
      </w:r>
    </w:p>
    <w:p w:rsidR="00996C37" w:rsidRPr="00D73CEC" w:rsidRDefault="00996C37" w:rsidP="00996C37">
      <w:pPr>
        <w:spacing w:line="240" w:lineRule="auto"/>
        <w:rPr>
          <w:i/>
          <w:sz w:val="24"/>
          <w:szCs w:val="24"/>
        </w:rPr>
      </w:pPr>
      <w:r w:rsidRPr="00D73CEC">
        <w:rPr>
          <w:i/>
          <w:sz w:val="24"/>
          <w:szCs w:val="24"/>
        </w:rPr>
        <w:t xml:space="preserve">Порядок приема обучающихся и комплектование групп МУДО «ДЮСШ» утвержден приказом директора Учреждения №89 от 02.09.2019 года (далее-Правила приема). Согласно пункта 4.1 Правил приема «В ДЮСШ принимаются дети, достигшие 5 лет», что противоречит пункту 3.5 Устава Учреждения, определяющему категорию обучающихся детей от семи до восемнадцати лет.           </w:t>
      </w:r>
    </w:p>
    <w:p w:rsidR="00996C37" w:rsidRPr="00D73CEC" w:rsidRDefault="00996C37" w:rsidP="00996C37">
      <w:pPr>
        <w:pStyle w:val="43"/>
        <w:shd w:val="clear" w:color="auto" w:fill="auto"/>
        <w:spacing w:after="0" w:line="240" w:lineRule="auto"/>
        <w:ind w:firstLine="709"/>
        <w:jc w:val="both"/>
        <w:rPr>
          <w:rStyle w:val="10"/>
          <w:i/>
          <w:color w:val="auto"/>
          <w:sz w:val="24"/>
          <w:szCs w:val="24"/>
        </w:rPr>
      </w:pPr>
      <w:r w:rsidRPr="00D73CEC">
        <w:rPr>
          <w:rStyle w:val="10"/>
          <w:i/>
          <w:color w:val="auto"/>
          <w:sz w:val="24"/>
          <w:szCs w:val="24"/>
        </w:rPr>
        <w:t>Аналогично, дополнительная общеразвивающая программа физкультурно-спортивной направленности «Шахматы», разработана и применяется в отношении обучающихся детей в возрасте от 5-12 лет. Уставом Учреждения не предусмотрено обучение детей моложе 7 лет.</w:t>
      </w:r>
    </w:p>
    <w:p w:rsidR="00D73CEC" w:rsidRPr="00D73CEC" w:rsidRDefault="000A1B8C" w:rsidP="000A1B8C">
      <w:pPr>
        <w:pStyle w:val="43"/>
        <w:numPr>
          <w:ilvl w:val="0"/>
          <w:numId w:val="12"/>
        </w:numPr>
        <w:shd w:val="clear" w:color="auto" w:fill="auto"/>
        <w:spacing w:after="0" w:line="240" w:lineRule="auto"/>
        <w:ind w:left="0" w:firstLine="709"/>
        <w:jc w:val="both"/>
        <w:rPr>
          <w:rStyle w:val="10"/>
          <w:color w:val="auto"/>
          <w:sz w:val="24"/>
          <w:szCs w:val="24"/>
        </w:rPr>
      </w:pPr>
      <w:r>
        <w:rPr>
          <w:rStyle w:val="10"/>
          <w:color w:val="auto"/>
          <w:sz w:val="24"/>
          <w:szCs w:val="24"/>
        </w:rPr>
        <w:t xml:space="preserve">  </w:t>
      </w:r>
      <w:r w:rsidR="00D73CEC" w:rsidRPr="00D73CEC">
        <w:rPr>
          <w:rStyle w:val="10"/>
          <w:color w:val="auto"/>
          <w:sz w:val="24"/>
          <w:szCs w:val="24"/>
        </w:rPr>
        <w:t>Обеспечение деятельности МУДО «ДЮСШ» осуществляется в рамках исполнения мероприятий</w:t>
      </w:r>
      <w:r w:rsidR="00D73CEC" w:rsidRPr="00D73CEC">
        <w:t xml:space="preserve"> </w:t>
      </w:r>
      <w:r w:rsidR="00D73CEC" w:rsidRPr="00D73CEC">
        <w:rPr>
          <w:rStyle w:val="10"/>
          <w:color w:val="auto"/>
          <w:sz w:val="24"/>
          <w:szCs w:val="24"/>
        </w:rPr>
        <w:t>подпрограммы "Дополнительное образование, воспитание и психолого-социальное сопровождение детей" муниципальной программы городского округа Лотошино «Образование», утвержденной постановлением Главы городского округа Лотошино от 28.11.2019 года №1126.</w:t>
      </w:r>
    </w:p>
    <w:p w:rsidR="00D73CEC" w:rsidRPr="00D73CEC" w:rsidRDefault="00D73CEC" w:rsidP="00D73CEC">
      <w:pPr>
        <w:pStyle w:val="a8"/>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73CEC">
        <w:rPr>
          <w:rFonts w:ascii="Times New Roman" w:hAnsi="Times New Roman" w:cs="Times New Roman"/>
          <w:sz w:val="24"/>
          <w:szCs w:val="24"/>
        </w:rPr>
        <w:t>Утвержденная муниципальная программа реализуется за счет средств бюджета городского округа Лотошино, бюджета Московской области  в объемах, установленных решением Совета депутатов городского округа Лотошино о бюджете городского округа Лотошино на текущий финансовый год и плановый период, и за счет средств иных привлекаемых для реализации муниципальной программы источников.</w:t>
      </w:r>
    </w:p>
    <w:p w:rsidR="00D73CEC" w:rsidRPr="00D73CEC" w:rsidRDefault="00D73CEC" w:rsidP="00D73CEC">
      <w:pPr>
        <w:spacing w:line="240" w:lineRule="auto"/>
        <w:rPr>
          <w:sz w:val="24"/>
          <w:szCs w:val="24"/>
        </w:rPr>
      </w:pPr>
      <w:r w:rsidRPr="00D73CEC">
        <w:rPr>
          <w:sz w:val="24"/>
          <w:szCs w:val="24"/>
        </w:rPr>
        <w:t>Смета составлена на основании обоснований (расчетов) плановых показателей, что соответствует требованиям Приказа №26н.</w:t>
      </w:r>
    </w:p>
    <w:p w:rsidR="00D73CEC" w:rsidRPr="00D73CEC" w:rsidRDefault="00D73CEC" w:rsidP="00D73CEC">
      <w:pPr>
        <w:widowControl w:val="0"/>
        <w:spacing w:line="240" w:lineRule="auto"/>
        <w:rPr>
          <w:color w:val="000000"/>
          <w:sz w:val="24"/>
          <w:szCs w:val="24"/>
          <w:shd w:val="clear" w:color="auto" w:fill="FFFFFF"/>
        </w:rPr>
      </w:pPr>
      <w:r w:rsidRPr="00D73CEC">
        <w:rPr>
          <w:color w:val="000000"/>
          <w:sz w:val="24"/>
          <w:szCs w:val="24"/>
          <w:shd w:val="clear" w:color="auto" w:fill="FFFFFF"/>
        </w:rPr>
        <w:t>Сметные показатели Учреждения в проверяемом периоде приведены в таблице:</w:t>
      </w:r>
    </w:p>
    <w:p w:rsidR="00D73CEC" w:rsidRPr="00D73CEC" w:rsidRDefault="00D73CEC" w:rsidP="00D73CEC">
      <w:pPr>
        <w:widowControl w:val="0"/>
        <w:spacing w:line="240" w:lineRule="auto"/>
        <w:jc w:val="left"/>
        <w:rPr>
          <w:color w:val="000000"/>
          <w:sz w:val="24"/>
          <w:szCs w:val="24"/>
          <w:shd w:val="clear" w:color="auto" w:fill="FFFFFF"/>
        </w:rPr>
      </w:pPr>
    </w:p>
    <w:tbl>
      <w:tblPr>
        <w:tblStyle w:val="11"/>
        <w:tblW w:w="9331" w:type="dxa"/>
        <w:tblInd w:w="20" w:type="dxa"/>
        <w:tblLayout w:type="fixed"/>
        <w:tblLook w:val="04A0" w:firstRow="1" w:lastRow="0" w:firstColumn="1" w:lastColumn="0" w:noHBand="0" w:noVBand="1"/>
      </w:tblPr>
      <w:tblGrid>
        <w:gridCol w:w="4795"/>
        <w:gridCol w:w="1276"/>
        <w:gridCol w:w="1134"/>
        <w:gridCol w:w="1134"/>
        <w:gridCol w:w="992"/>
      </w:tblGrid>
      <w:tr w:rsidR="00D73CEC" w:rsidRPr="00D73CEC" w:rsidTr="00777D20">
        <w:tc>
          <w:tcPr>
            <w:tcW w:w="4795" w:type="dxa"/>
            <w:vMerge w:val="restart"/>
          </w:tcPr>
          <w:p w:rsidR="00D73CEC" w:rsidRPr="00D73CEC" w:rsidRDefault="00D73CEC" w:rsidP="00D73CEC">
            <w:pPr>
              <w:spacing w:line="240" w:lineRule="auto"/>
              <w:ind w:hanging="20"/>
              <w:jc w:val="center"/>
              <w:rPr>
                <w:color w:val="000000"/>
                <w:sz w:val="20"/>
              </w:rPr>
            </w:pPr>
            <w:r w:rsidRPr="00D73CEC">
              <w:rPr>
                <w:color w:val="000000"/>
                <w:sz w:val="20"/>
              </w:rPr>
              <w:t>Наименование показателя  (код вида расходов)</w:t>
            </w:r>
          </w:p>
        </w:tc>
        <w:tc>
          <w:tcPr>
            <w:tcW w:w="2410" w:type="dxa"/>
            <w:gridSpan w:val="2"/>
          </w:tcPr>
          <w:p w:rsidR="00D73CEC" w:rsidRPr="00D73CEC" w:rsidRDefault="00D73CEC" w:rsidP="00D73CEC">
            <w:pPr>
              <w:spacing w:line="240" w:lineRule="auto"/>
              <w:ind w:hanging="20"/>
              <w:jc w:val="center"/>
              <w:rPr>
                <w:color w:val="000000"/>
                <w:sz w:val="20"/>
              </w:rPr>
            </w:pPr>
            <w:r w:rsidRPr="00D73CEC">
              <w:rPr>
                <w:color w:val="000000"/>
                <w:sz w:val="20"/>
              </w:rPr>
              <w:t>Показатели бюджетной сметы (в тыс. руб.)</w:t>
            </w:r>
          </w:p>
        </w:tc>
        <w:tc>
          <w:tcPr>
            <w:tcW w:w="1134" w:type="dxa"/>
            <w:vMerge w:val="restart"/>
          </w:tcPr>
          <w:p w:rsidR="00D73CEC" w:rsidRPr="00D73CEC" w:rsidRDefault="00D73CEC" w:rsidP="00D73CEC">
            <w:pPr>
              <w:spacing w:line="240" w:lineRule="auto"/>
              <w:ind w:hanging="20"/>
              <w:jc w:val="center"/>
              <w:rPr>
                <w:color w:val="000000"/>
                <w:sz w:val="20"/>
              </w:rPr>
            </w:pPr>
            <w:r w:rsidRPr="00D73CEC">
              <w:rPr>
                <w:color w:val="000000"/>
                <w:sz w:val="20"/>
              </w:rPr>
              <w:t xml:space="preserve">Отклоне-ние </w:t>
            </w:r>
          </w:p>
          <w:p w:rsidR="00D73CEC" w:rsidRPr="00D73CEC" w:rsidRDefault="00D73CEC" w:rsidP="00D73CEC">
            <w:pPr>
              <w:spacing w:line="240" w:lineRule="auto"/>
              <w:ind w:hanging="20"/>
              <w:jc w:val="center"/>
              <w:rPr>
                <w:color w:val="000000"/>
                <w:sz w:val="20"/>
              </w:rPr>
            </w:pPr>
            <w:r w:rsidRPr="00D73CEC">
              <w:rPr>
                <w:color w:val="000000"/>
                <w:sz w:val="20"/>
              </w:rPr>
              <w:t>(в рублях)</w:t>
            </w:r>
          </w:p>
        </w:tc>
        <w:tc>
          <w:tcPr>
            <w:tcW w:w="992" w:type="dxa"/>
            <w:vMerge w:val="restart"/>
          </w:tcPr>
          <w:p w:rsidR="00D73CEC" w:rsidRPr="00D73CEC" w:rsidRDefault="00D73CEC" w:rsidP="00D73CEC">
            <w:pPr>
              <w:spacing w:line="240" w:lineRule="auto"/>
              <w:ind w:hanging="20"/>
              <w:jc w:val="center"/>
              <w:rPr>
                <w:color w:val="000000"/>
                <w:sz w:val="20"/>
              </w:rPr>
            </w:pPr>
            <w:r w:rsidRPr="00D73CEC">
              <w:rPr>
                <w:color w:val="000000"/>
                <w:sz w:val="20"/>
              </w:rPr>
              <w:t>Темп роста</w:t>
            </w:r>
          </w:p>
          <w:p w:rsidR="00D73CEC" w:rsidRPr="00D73CEC" w:rsidRDefault="00D73CEC" w:rsidP="00D73CEC">
            <w:pPr>
              <w:spacing w:line="240" w:lineRule="auto"/>
              <w:ind w:hanging="20"/>
              <w:jc w:val="center"/>
              <w:rPr>
                <w:color w:val="000000"/>
                <w:sz w:val="20"/>
              </w:rPr>
            </w:pPr>
            <w:r w:rsidRPr="00D73CEC">
              <w:rPr>
                <w:color w:val="000000"/>
                <w:sz w:val="20"/>
              </w:rPr>
              <w:t xml:space="preserve"> (в %)</w:t>
            </w:r>
          </w:p>
        </w:tc>
      </w:tr>
      <w:tr w:rsidR="00D73CEC" w:rsidRPr="00D73CEC" w:rsidTr="00777D20">
        <w:tc>
          <w:tcPr>
            <w:tcW w:w="4795" w:type="dxa"/>
            <w:vMerge/>
          </w:tcPr>
          <w:p w:rsidR="00D73CEC" w:rsidRPr="00D73CEC" w:rsidRDefault="00D73CEC" w:rsidP="00D73CEC">
            <w:pPr>
              <w:spacing w:line="240" w:lineRule="auto"/>
              <w:ind w:hanging="20"/>
              <w:jc w:val="center"/>
              <w:rPr>
                <w:color w:val="000000"/>
                <w:sz w:val="20"/>
              </w:rPr>
            </w:pP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На 01.01.2021</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На 01.01.2022</w:t>
            </w:r>
          </w:p>
        </w:tc>
        <w:tc>
          <w:tcPr>
            <w:tcW w:w="1134" w:type="dxa"/>
            <w:vMerge/>
          </w:tcPr>
          <w:p w:rsidR="00D73CEC" w:rsidRPr="00D73CEC" w:rsidRDefault="00D73CEC" w:rsidP="00D73CEC">
            <w:pPr>
              <w:spacing w:line="240" w:lineRule="auto"/>
              <w:ind w:hanging="20"/>
              <w:rPr>
                <w:color w:val="000000"/>
                <w:sz w:val="20"/>
              </w:rPr>
            </w:pPr>
          </w:p>
        </w:tc>
        <w:tc>
          <w:tcPr>
            <w:tcW w:w="992" w:type="dxa"/>
            <w:vMerge/>
          </w:tcPr>
          <w:p w:rsidR="00D73CEC" w:rsidRPr="00D73CEC" w:rsidRDefault="00D73CEC" w:rsidP="00D73CEC">
            <w:pPr>
              <w:spacing w:line="240" w:lineRule="auto"/>
              <w:ind w:hanging="20"/>
              <w:rPr>
                <w:color w:val="000000"/>
                <w:sz w:val="20"/>
              </w:rPr>
            </w:pPr>
          </w:p>
        </w:tc>
      </w:tr>
      <w:tr w:rsidR="00D73CEC" w:rsidRPr="00D73CEC" w:rsidTr="00777D20">
        <w:tc>
          <w:tcPr>
            <w:tcW w:w="4795" w:type="dxa"/>
          </w:tcPr>
          <w:p w:rsidR="00D73CEC" w:rsidRPr="00D73CEC" w:rsidRDefault="00D73CEC" w:rsidP="00D73CEC">
            <w:pPr>
              <w:spacing w:line="240" w:lineRule="auto"/>
              <w:ind w:hanging="20"/>
              <w:jc w:val="center"/>
              <w:rPr>
                <w:color w:val="000000"/>
                <w:sz w:val="20"/>
              </w:rPr>
            </w:pPr>
            <w:r w:rsidRPr="00D73CEC">
              <w:rPr>
                <w:color w:val="000000"/>
                <w:sz w:val="20"/>
              </w:rPr>
              <w:t>1</w:t>
            </w: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2</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3</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4</w:t>
            </w:r>
          </w:p>
        </w:tc>
        <w:tc>
          <w:tcPr>
            <w:tcW w:w="992" w:type="dxa"/>
          </w:tcPr>
          <w:p w:rsidR="00D73CEC" w:rsidRPr="00D73CEC" w:rsidRDefault="00D73CEC" w:rsidP="00D73CEC">
            <w:pPr>
              <w:spacing w:line="240" w:lineRule="auto"/>
              <w:ind w:hanging="20"/>
              <w:jc w:val="center"/>
              <w:rPr>
                <w:color w:val="000000"/>
                <w:sz w:val="20"/>
              </w:rPr>
            </w:pPr>
            <w:r w:rsidRPr="00D73CEC">
              <w:rPr>
                <w:color w:val="000000"/>
                <w:sz w:val="20"/>
              </w:rPr>
              <w:t>5</w:t>
            </w:r>
          </w:p>
        </w:tc>
      </w:tr>
      <w:tr w:rsidR="00D73CEC" w:rsidRPr="00D73CEC" w:rsidTr="00777D20">
        <w:tc>
          <w:tcPr>
            <w:tcW w:w="4795" w:type="dxa"/>
          </w:tcPr>
          <w:p w:rsidR="00D73CEC" w:rsidRPr="00D73CEC" w:rsidRDefault="00D73CEC" w:rsidP="00D73CEC">
            <w:pPr>
              <w:spacing w:line="240" w:lineRule="auto"/>
              <w:ind w:hanging="20"/>
              <w:rPr>
                <w:color w:val="000000"/>
                <w:sz w:val="20"/>
              </w:rPr>
            </w:pPr>
            <w:r w:rsidRPr="00D73CEC">
              <w:rPr>
                <w:color w:val="000000"/>
                <w:sz w:val="20"/>
              </w:rPr>
              <w:t>Фонд оплаты труда (КВР 111)</w:t>
            </w: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3436,5</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3722,5</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286,0</w:t>
            </w:r>
          </w:p>
        </w:tc>
        <w:tc>
          <w:tcPr>
            <w:tcW w:w="992" w:type="dxa"/>
          </w:tcPr>
          <w:p w:rsidR="00D73CEC" w:rsidRPr="00D73CEC" w:rsidRDefault="00D73CEC" w:rsidP="00D73CEC">
            <w:pPr>
              <w:spacing w:line="240" w:lineRule="auto"/>
              <w:ind w:hanging="20"/>
              <w:jc w:val="center"/>
              <w:rPr>
                <w:color w:val="000000"/>
                <w:sz w:val="20"/>
              </w:rPr>
            </w:pPr>
            <w:r w:rsidRPr="00D73CEC">
              <w:rPr>
                <w:color w:val="000000"/>
                <w:sz w:val="20"/>
              </w:rPr>
              <w:t>108,3</w:t>
            </w:r>
          </w:p>
        </w:tc>
      </w:tr>
      <w:tr w:rsidR="00D73CEC" w:rsidRPr="00D73CEC" w:rsidTr="00777D20">
        <w:tc>
          <w:tcPr>
            <w:tcW w:w="4795" w:type="dxa"/>
          </w:tcPr>
          <w:p w:rsidR="00D73CEC" w:rsidRPr="00D73CEC" w:rsidRDefault="00D73CEC" w:rsidP="00D73CEC">
            <w:pPr>
              <w:spacing w:line="240" w:lineRule="auto"/>
              <w:ind w:hanging="20"/>
              <w:rPr>
                <w:color w:val="000000"/>
                <w:sz w:val="20"/>
              </w:rPr>
            </w:pPr>
            <w:r w:rsidRPr="00D73CEC">
              <w:rPr>
                <w:color w:val="000000"/>
                <w:sz w:val="20"/>
              </w:rPr>
              <w:t>Начисления на выплаты по оплате труда (КВР 119)</w:t>
            </w: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1031,8</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1118,2</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86,4</w:t>
            </w:r>
          </w:p>
        </w:tc>
        <w:tc>
          <w:tcPr>
            <w:tcW w:w="992" w:type="dxa"/>
          </w:tcPr>
          <w:p w:rsidR="00D73CEC" w:rsidRPr="00D73CEC" w:rsidRDefault="00D73CEC" w:rsidP="00D73CEC">
            <w:pPr>
              <w:spacing w:line="240" w:lineRule="auto"/>
              <w:ind w:hanging="20"/>
              <w:jc w:val="center"/>
              <w:rPr>
                <w:color w:val="000000"/>
                <w:sz w:val="20"/>
              </w:rPr>
            </w:pPr>
            <w:r w:rsidRPr="00D73CEC">
              <w:rPr>
                <w:color w:val="000000"/>
                <w:sz w:val="20"/>
              </w:rPr>
              <w:t>108,4</w:t>
            </w:r>
          </w:p>
        </w:tc>
      </w:tr>
      <w:tr w:rsidR="00D73CEC" w:rsidRPr="00D73CEC" w:rsidTr="00777D20">
        <w:tc>
          <w:tcPr>
            <w:tcW w:w="4795" w:type="dxa"/>
          </w:tcPr>
          <w:p w:rsidR="00D73CEC" w:rsidRPr="00D73CEC" w:rsidRDefault="00D73CEC" w:rsidP="00D73CEC">
            <w:pPr>
              <w:spacing w:line="240" w:lineRule="auto"/>
              <w:ind w:hanging="20"/>
              <w:rPr>
                <w:color w:val="000000"/>
                <w:sz w:val="20"/>
              </w:rPr>
            </w:pPr>
            <w:r w:rsidRPr="00D73CEC">
              <w:rPr>
                <w:color w:val="000000"/>
                <w:sz w:val="20"/>
              </w:rPr>
              <w:t>Закупка товаров, работ, услуг в сфере информационно-коммуникационных технологий (КВР 242)</w:t>
            </w: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165,9</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0</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-165,9</w:t>
            </w:r>
          </w:p>
        </w:tc>
        <w:tc>
          <w:tcPr>
            <w:tcW w:w="992" w:type="dxa"/>
          </w:tcPr>
          <w:p w:rsidR="00D73CEC" w:rsidRPr="00D73CEC" w:rsidRDefault="00D73CEC" w:rsidP="00D73CEC">
            <w:pPr>
              <w:spacing w:line="240" w:lineRule="auto"/>
              <w:ind w:hanging="20"/>
              <w:jc w:val="center"/>
              <w:rPr>
                <w:color w:val="000000"/>
                <w:sz w:val="20"/>
              </w:rPr>
            </w:pPr>
            <w:r w:rsidRPr="00D73CEC">
              <w:rPr>
                <w:color w:val="000000"/>
                <w:sz w:val="20"/>
              </w:rPr>
              <w:t>0</w:t>
            </w:r>
          </w:p>
        </w:tc>
      </w:tr>
      <w:tr w:rsidR="00D73CEC" w:rsidRPr="00D73CEC" w:rsidTr="00777D20">
        <w:tc>
          <w:tcPr>
            <w:tcW w:w="4795" w:type="dxa"/>
          </w:tcPr>
          <w:p w:rsidR="00D73CEC" w:rsidRPr="00D73CEC" w:rsidRDefault="00D73CEC" w:rsidP="00D73CEC">
            <w:pPr>
              <w:spacing w:line="240" w:lineRule="auto"/>
              <w:ind w:hanging="20"/>
              <w:rPr>
                <w:color w:val="000000"/>
                <w:sz w:val="20"/>
              </w:rPr>
            </w:pPr>
            <w:r w:rsidRPr="00D73CEC">
              <w:rPr>
                <w:color w:val="000000"/>
                <w:sz w:val="20"/>
              </w:rPr>
              <w:t>Прочая закупка товаров, работ и услуг (КВР 244)</w:t>
            </w: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182,8</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465,9</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283,1</w:t>
            </w:r>
          </w:p>
        </w:tc>
        <w:tc>
          <w:tcPr>
            <w:tcW w:w="992" w:type="dxa"/>
          </w:tcPr>
          <w:p w:rsidR="00D73CEC" w:rsidRPr="00D73CEC" w:rsidRDefault="00D73CEC" w:rsidP="00D73CEC">
            <w:pPr>
              <w:spacing w:line="240" w:lineRule="auto"/>
              <w:ind w:hanging="20"/>
              <w:jc w:val="center"/>
              <w:rPr>
                <w:color w:val="000000"/>
                <w:sz w:val="20"/>
              </w:rPr>
            </w:pPr>
            <w:r w:rsidRPr="00D73CEC">
              <w:rPr>
                <w:color w:val="000000"/>
                <w:sz w:val="20"/>
              </w:rPr>
              <w:t>254,9</w:t>
            </w:r>
          </w:p>
        </w:tc>
      </w:tr>
      <w:tr w:rsidR="00D73CEC" w:rsidRPr="00D73CEC" w:rsidTr="00777D20">
        <w:tc>
          <w:tcPr>
            <w:tcW w:w="4795" w:type="dxa"/>
          </w:tcPr>
          <w:p w:rsidR="00D73CEC" w:rsidRPr="00D73CEC" w:rsidRDefault="00D73CEC" w:rsidP="00D73CEC">
            <w:pPr>
              <w:spacing w:line="240" w:lineRule="auto"/>
              <w:ind w:hanging="20"/>
              <w:rPr>
                <w:color w:val="000000"/>
                <w:sz w:val="20"/>
              </w:rPr>
            </w:pPr>
            <w:r w:rsidRPr="00D73CEC">
              <w:rPr>
                <w:color w:val="000000"/>
                <w:sz w:val="20"/>
              </w:rPr>
              <w:t>Всего</w:t>
            </w:r>
          </w:p>
        </w:tc>
        <w:tc>
          <w:tcPr>
            <w:tcW w:w="1276" w:type="dxa"/>
          </w:tcPr>
          <w:p w:rsidR="00D73CEC" w:rsidRPr="00D73CEC" w:rsidRDefault="00D73CEC" w:rsidP="00D73CEC">
            <w:pPr>
              <w:spacing w:line="240" w:lineRule="auto"/>
              <w:ind w:hanging="20"/>
              <w:jc w:val="center"/>
              <w:rPr>
                <w:color w:val="000000"/>
                <w:sz w:val="20"/>
              </w:rPr>
            </w:pPr>
            <w:r w:rsidRPr="00D73CEC">
              <w:rPr>
                <w:color w:val="000000"/>
                <w:sz w:val="20"/>
              </w:rPr>
              <w:t>4817,0</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5306,6</w:t>
            </w:r>
          </w:p>
        </w:tc>
        <w:tc>
          <w:tcPr>
            <w:tcW w:w="1134" w:type="dxa"/>
          </w:tcPr>
          <w:p w:rsidR="00D73CEC" w:rsidRPr="00D73CEC" w:rsidRDefault="00D73CEC" w:rsidP="00D73CEC">
            <w:pPr>
              <w:spacing w:line="240" w:lineRule="auto"/>
              <w:ind w:hanging="20"/>
              <w:jc w:val="center"/>
              <w:rPr>
                <w:color w:val="000000"/>
                <w:sz w:val="20"/>
              </w:rPr>
            </w:pPr>
            <w:r w:rsidRPr="00D73CEC">
              <w:rPr>
                <w:color w:val="000000"/>
                <w:sz w:val="20"/>
              </w:rPr>
              <w:t>489,6</w:t>
            </w:r>
          </w:p>
        </w:tc>
        <w:tc>
          <w:tcPr>
            <w:tcW w:w="992" w:type="dxa"/>
          </w:tcPr>
          <w:p w:rsidR="00D73CEC" w:rsidRPr="00D73CEC" w:rsidRDefault="00D73CEC" w:rsidP="00D73CEC">
            <w:pPr>
              <w:spacing w:line="240" w:lineRule="auto"/>
              <w:ind w:hanging="20"/>
              <w:jc w:val="center"/>
              <w:rPr>
                <w:color w:val="000000"/>
                <w:sz w:val="20"/>
              </w:rPr>
            </w:pPr>
            <w:r w:rsidRPr="00D73CEC">
              <w:rPr>
                <w:color w:val="000000"/>
                <w:sz w:val="20"/>
              </w:rPr>
              <w:t>110,2</w:t>
            </w:r>
          </w:p>
        </w:tc>
      </w:tr>
    </w:tbl>
    <w:p w:rsidR="00D73CEC" w:rsidRPr="00D73CEC" w:rsidRDefault="00D73CEC" w:rsidP="00D73CEC">
      <w:pPr>
        <w:widowControl w:val="0"/>
        <w:spacing w:line="240" w:lineRule="auto"/>
        <w:rPr>
          <w:color w:val="1F497D" w:themeColor="text2"/>
          <w:sz w:val="24"/>
          <w:szCs w:val="24"/>
          <w:shd w:val="clear" w:color="auto" w:fill="FFFFFF"/>
        </w:rPr>
      </w:pPr>
    </w:p>
    <w:p w:rsidR="00D73CEC" w:rsidRPr="00D73CEC" w:rsidRDefault="00D73CEC" w:rsidP="00D73CEC">
      <w:pPr>
        <w:widowControl w:val="0"/>
        <w:spacing w:line="240" w:lineRule="auto"/>
        <w:rPr>
          <w:color w:val="000000"/>
          <w:sz w:val="24"/>
          <w:szCs w:val="24"/>
        </w:rPr>
      </w:pPr>
      <w:r w:rsidRPr="00D73CEC">
        <w:rPr>
          <w:color w:val="000000"/>
          <w:sz w:val="24"/>
          <w:szCs w:val="24"/>
          <w:shd w:val="clear" w:color="auto" w:fill="FFFFFF"/>
        </w:rPr>
        <w:t>Изменения в смету в проверяемом периоде не вносились.</w:t>
      </w:r>
    </w:p>
    <w:p w:rsidR="00D73CEC" w:rsidRPr="00D73CEC" w:rsidRDefault="00D73CEC" w:rsidP="00D73CEC">
      <w:pPr>
        <w:widowControl w:val="0"/>
        <w:spacing w:line="240" w:lineRule="auto"/>
        <w:rPr>
          <w:color w:val="000000"/>
          <w:sz w:val="24"/>
          <w:szCs w:val="24"/>
          <w:shd w:val="clear" w:color="auto" w:fill="FFFFFF"/>
        </w:rPr>
      </w:pPr>
      <w:r w:rsidRPr="00D73CEC">
        <w:rPr>
          <w:color w:val="000000"/>
          <w:sz w:val="24"/>
          <w:szCs w:val="24"/>
          <w:shd w:val="clear" w:color="auto" w:fill="FFFFFF"/>
        </w:rPr>
        <w:t xml:space="preserve">Анализ приведенных данных показывает, что смета Учреждения на 2021 год сформирована по расходам </w:t>
      </w:r>
    </w:p>
    <w:p w:rsidR="00D73CEC" w:rsidRPr="00D73CEC" w:rsidRDefault="00D73CEC" w:rsidP="00D73CEC">
      <w:pPr>
        <w:widowControl w:val="0"/>
        <w:numPr>
          <w:ilvl w:val="0"/>
          <w:numId w:val="14"/>
        </w:numPr>
        <w:tabs>
          <w:tab w:val="left" w:pos="903"/>
        </w:tabs>
        <w:spacing w:line="240" w:lineRule="auto"/>
        <w:rPr>
          <w:color w:val="000000"/>
          <w:sz w:val="24"/>
          <w:szCs w:val="24"/>
        </w:rPr>
      </w:pPr>
      <w:r w:rsidRPr="00D73CEC">
        <w:rPr>
          <w:color w:val="000000"/>
          <w:sz w:val="24"/>
          <w:szCs w:val="24"/>
          <w:shd w:val="clear" w:color="auto" w:fill="FFFFFF"/>
        </w:rPr>
        <w:lastRenderedPageBreak/>
        <w:t xml:space="preserve">  на  оплату труда в сумме  3 436,5 тыс. рублей или на 71,3 </w:t>
      </w:r>
      <w:r w:rsidRPr="00D73CEC">
        <w:rPr>
          <w:bCs/>
          <w:iCs/>
          <w:color w:val="000000"/>
          <w:sz w:val="24"/>
          <w:szCs w:val="24"/>
          <w:shd w:val="clear" w:color="auto" w:fill="FFFFFF"/>
        </w:rPr>
        <w:t>%;</w:t>
      </w:r>
    </w:p>
    <w:p w:rsidR="00D73CEC" w:rsidRPr="00D73CEC" w:rsidRDefault="00D73CEC" w:rsidP="00D73CEC">
      <w:pPr>
        <w:widowControl w:val="0"/>
        <w:numPr>
          <w:ilvl w:val="0"/>
          <w:numId w:val="14"/>
        </w:numPr>
        <w:tabs>
          <w:tab w:val="left" w:pos="1066"/>
        </w:tabs>
        <w:spacing w:line="240" w:lineRule="auto"/>
        <w:rPr>
          <w:color w:val="000000"/>
          <w:sz w:val="24"/>
          <w:szCs w:val="24"/>
          <w:shd w:val="clear" w:color="auto" w:fill="FFFFFF"/>
        </w:rPr>
      </w:pPr>
      <w:r w:rsidRPr="00D73CEC">
        <w:rPr>
          <w:color w:val="000000"/>
          <w:sz w:val="24"/>
          <w:szCs w:val="24"/>
          <w:shd w:val="clear" w:color="auto" w:fill="FFFFFF"/>
        </w:rPr>
        <w:t xml:space="preserve">на оплату взносов по обязательному социальному страхованию на выплаты по оплате труда работников и иные выплаты работникам учреждения на сумму </w:t>
      </w:r>
      <w:r w:rsidRPr="00D73CEC">
        <w:rPr>
          <w:color w:val="000000"/>
          <w:sz w:val="24"/>
          <w:szCs w:val="24"/>
        </w:rPr>
        <w:t>1031,8</w:t>
      </w:r>
      <w:r w:rsidRPr="00D73CEC">
        <w:rPr>
          <w:color w:val="000000"/>
          <w:sz w:val="20"/>
          <w:szCs w:val="28"/>
        </w:rPr>
        <w:t xml:space="preserve"> </w:t>
      </w:r>
      <w:r w:rsidRPr="00D73CEC">
        <w:rPr>
          <w:color w:val="000000"/>
          <w:sz w:val="24"/>
          <w:szCs w:val="24"/>
          <w:shd w:val="clear" w:color="auto" w:fill="FFFFFF"/>
        </w:rPr>
        <w:t>тыс. рублей или на 21,4%.</w:t>
      </w:r>
    </w:p>
    <w:p w:rsidR="00D73CEC" w:rsidRPr="00D73CEC" w:rsidRDefault="00D73CEC" w:rsidP="00D73CEC">
      <w:pPr>
        <w:widowControl w:val="0"/>
        <w:numPr>
          <w:ilvl w:val="0"/>
          <w:numId w:val="14"/>
        </w:numPr>
        <w:tabs>
          <w:tab w:val="left" w:pos="1066"/>
        </w:tabs>
        <w:spacing w:line="240" w:lineRule="auto"/>
        <w:rPr>
          <w:color w:val="000000"/>
          <w:sz w:val="24"/>
          <w:szCs w:val="24"/>
        </w:rPr>
      </w:pPr>
      <w:r w:rsidRPr="00D73CEC">
        <w:rPr>
          <w:color w:val="000000"/>
          <w:sz w:val="24"/>
          <w:szCs w:val="24"/>
        </w:rPr>
        <w:t>на закупку товаров, работ и услуг на 348,7 тыс. рублей или на 7,2%.</w:t>
      </w:r>
    </w:p>
    <w:p w:rsidR="00D73CEC" w:rsidRPr="00D73CEC" w:rsidRDefault="00D73CEC" w:rsidP="00D73CEC">
      <w:pPr>
        <w:spacing w:line="240" w:lineRule="auto"/>
        <w:rPr>
          <w:color w:val="FF0000"/>
          <w:sz w:val="24"/>
          <w:szCs w:val="24"/>
        </w:rPr>
      </w:pPr>
      <w:r w:rsidRPr="00D73CEC">
        <w:rPr>
          <w:sz w:val="24"/>
          <w:szCs w:val="24"/>
        </w:rPr>
        <w:t>На 2022 год планируемые расходы учреждения увеличились всего на 489,6 тыс. рублей и составили 5 306,6 тыс. рублей. Объем расходов на 2022 год увеличен по всем направлениям расходов.</w:t>
      </w:r>
    </w:p>
    <w:p w:rsidR="00D73CEC" w:rsidRPr="00D73CEC" w:rsidRDefault="00D73CEC" w:rsidP="00D73CEC">
      <w:pPr>
        <w:widowControl w:val="0"/>
        <w:spacing w:line="240" w:lineRule="auto"/>
        <w:rPr>
          <w:color w:val="000000"/>
          <w:sz w:val="24"/>
          <w:szCs w:val="24"/>
          <w:shd w:val="clear" w:color="auto" w:fill="FFFFFF"/>
        </w:rPr>
      </w:pPr>
      <w:r w:rsidRPr="00D73CEC">
        <w:rPr>
          <w:color w:val="000000"/>
          <w:sz w:val="24"/>
          <w:szCs w:val="24"/>
          <w:shd w:val="clear" w:color="auto" w:fill="FFFFFF"/>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73CEC" w:rsidRPr="00D73CEC" w:rsidRDefault="00D73CEC" w:rsidP="00D73CEC">
      <w:pPr>
        <w:spacing w:line="240" w:lineRule="auto"/>
        <w:rPr>
          <w:sz w:val="24"/>
          <w:szCs w:val="24"/>
        </w:rPr>
      </w:pPr>
      <w:r w:rsidRPr="00D73CEC">
        <w:rPr>
          <w:sz w:val="24"/>
          <w:szCs w:val="24"/>
        </w:rPr>
        <w:t xml:space="preserve">В соответствии с положениями </w:t>
      </w:r>
      <w:r w:rsidRPr="00D73CEC">
        <w:rPr>
          <w:rFonts w:eastAsiaTheme="minorEastAsia"/>
          <w:sz w:val="24"/>
          <w:szCs w:val="24"/>
        </w:rPr>
        <w:t xml:space="preserve">Общих требований (пункты 8,13), утвержденных Приказом Минфина России от 14.02.2018 года N 26н, </w:t>
      </w:r>
      <w:r w:rsidRPr="00D73CEC">
        <w:rPr>
          <w:sz w:val="24"/>
          <w:szCs w:val="24"/>
        </w:rPr>
        <w:t xml:space="preserve"> показатели обоснований (расчетов) плановых сметных показателей, формируемых при составлении сметы, в части расходов на закупку товаров, работ, услуг с учетом принятых и планируемых к принятию учреждением бюджетных обязательств используются учреждением показателей плана-графика закупок учреждения.</w:t>
      </w:r>
    </w:p>
    <w:p w:rsidR="00D73CEC" w:rsidRPr="00D73CEC" w:rsidRDefault="00D73CEC" w:rsidP="00D7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szCs w:val="24"/>
        </w:rPr>
      </w:pPr>
      <w:r w:rsidRPr="00D73CEC">
        <w:rPr>
          <w:i/>
          <w:sz w:val="24"/>
          <w:szCs w:val="24"/>
        </w:rPr>
        <w:t>Показатели сметы Учреждения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p>
    <w:p w:rsidR="00D73CEC" w:rsidRPr="00D73CEC" w:rsidRDefault="00D73CEC" w:rsidP="00D7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szCs w:val="24"/>
        </w:rPr>
      </w:pPr>
    </w:p>
    <w:tbl>
      <w:tblPr>
        <w:tblStyle w:val="110"/>
        <w:tblW w:w="9337" w:type="dxa"/>
        <w:tblInd w:w="108" w:type="dxa"/>
        <w:tblLayout w:type="fixed"/>
        <w:tblLook w:val="04A0" w:firstRow="1" w:lastRow="0" w:firstColumn="1" w:lastColumn="0" w:noHBand="0" w:noVBand="1"/>
      </w:tblPr>
      <w:tblGrid>
        <w:gridCol w:w="1843"/>
        <w:gridCol w:w="1276"/>
        <w:gridCol w:w="4851"/>
        <w:gridCol w:w="1367"/>
      </w:tblGrid>
      <w:tr w:rsidR="00D73CEC" w:rsidRPr="00D73CEC" w:rsidTr="00777D20">
        <w:tc>
          <w:tcPr>
            <w:tcW w:w="1843"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Документ</w:t>
            </w:r>
          </w:p>
        </w:tc>
        <w:tc>
          <w:tcPr>
            <w:tcW w:w="1276" w:type="dxa"/>
          </w:tcPr>
          <w:p w:rsidR="00D73CEC" w:rsidRPr="00D73CEC" w:rsidRDefault="00D73CEC" w:rsidP="00D73CEC">
            <w:pPr>
              <w:spacing w:line="240" w:lineRule="auto"/>
              <w:ind w:left="-108" w:right="-108" w:firstLine="0"/>
              <w:jc w:val="center"/>
              <w:rPr>
                <w:rFonts w:eastAsiaTheme="minorEastAsia"/>
                <w:sz w:val="20"/>
              </w:rPr>
            </w:pPr>
            <w:r w:rsidRPr="00D73CEC">
              <w:rPr>
                <w:rFonts w:eastAsiaTheme="minorEastAsia"/>
                <w:sz w:val="20"/>
              </w:rPr>
              <w:t>Дата утверждения</w:t>
            </w:r>
          </w:p>
        </w:tc>
        <w:tc>
          <w:tcPr>
            <w:tcW w:w="4851"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Показатель</w:t>
            </w:r>
          </w:p>
        </w:tc>
        <w:tc>
          <w:tcPr>
            <w:tcW w:w="1367"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Сумма</w:t>
            </w:r>
          </w:p>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(тыс. руб.)</w:t>
            </w:r>
          </w:p>
        </w:tc>
      </w:tr>
      <w:tr w:rsidR="00D73CEC" w:rsidRPr="00D73CEC" w:rsidTr="00777D20">
        <w:tc>
          <w:tcPr>
            <w:tcW w:w="1843"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 xml:space="preserve">Смета </w:t>
            </w:r>
          </w:p>
          <w:p w:rsidR="00D73CEC" w:rsidRPr="00D73CEC" w:rsidRDefault="00D73CEC" w:rsidP="00D73CEC">
            <w:pPr>
              <w:spacing w:line="240" w:lineRule="auto"/>
              <w:ind w:firstLine="0"/>
              <w:rPr>
                <w:rFonts w:eastAsiaTheme="minorEastAsia"/>
                <w:sz w:val="20"/>
              </w:rPr>
            </w:pPr>
            <w:r w:rsidRPr="00D73CEC">
              <w:rPr>
                <w:rFonts w:eastAsiaTheme="minorEastAsia"/>
                <w:sz w:val="20"/>
              </w:rPr>
              <w:t>на 01.01.2021 года</w:t>
            </w:r>
          </w:p>
        </w:tc>
        <w:tc>
          <w:tcPr>
            <w:tcW w:w="1276"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25.12.2020</w:t>
            </w:r>
          </w:p>
        </w:tc>
        <w:tc>
          <w:tcPr>
            <w:tcW w:w="4851"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 xml:space="preserve">На закупку товаров, работ (КВР 242,244) </w:t>
            </w:r>
          </w:p>
        </w:tc>
        <w:tc>
          <w:tcPr>
            <w:tcW w:w="1367" w:type="dxa"/>
          </w:tcPr>
          <w:p w:rsidR="00D73CEC" w:rsidRPr="00D73CEC" w:rsidRDefault="00D73CEC" w:rsidP="00D73CEC">
            <w:pPr>
              <w:spacing w:line="240" w:lineRule="auto"/>
              <w:ind w:firstLine="0"/>
              <w:jc w:val="center"/>
              <w:rPr>
                <w:rFonts w:eastAsiaTheme="minorEastAsia"/>
                <w:sz w:val="20"/>
              </w:rPr>
            </w:pPr>
            <w:r w:rsidRPr="00D73CEC">
              <w:rPr>
                <w:sz w:val="20"/>
              </w:rPr>
              <w:t>348,7</w:t>
            </w:r>
          </w:p>
        </w:tc>
      </w:tr>
      <w:tr w:rsidR="00D73CEC" w:rsidRPr="00D73CEC" w:rsidTr="00777D20">
        <w:tc>
          <w:tcPr>
            <w:tcW w:w="1843"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План-график закупок на 2021 год</w:t>
            </w:r>
          </w:p>
        </w:tc>
        <w:tc>
          <w:tcPr>
            <w:tcW w:w="1276"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 xml:space="preserve">29.12.2020 </w:t>
            </w:r>
            <w:r w:rsidRPr="00D73CEC">
              <w:rPr>
                <w:rFonts w:eastAsiaTheme="minorEastAsia"/>
                <w:sz w:val="16"/>
                <w:szCs w:val="16"/>
              </w:rPr>
              <w:t>(версия 0)</w:t>
            </w:r>
          </w:p>
        </w:tc>
        <w:tc>
          <w:tcPr>
            <w:tcW w:w="4851"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Объем финансового обеспечения на текущий финансовый год</w:t>
            </w:r>
          </w:p>
        </w:tc>
        <w:tc>
          <w:tcPr>
            <w:tcW w:w="1367"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3,5</w:t>
            </w:r>
          </w:p>
        </w:tc>
      </w:tr>
      <w:tr w:rsidR="00D73CEC" w:rsidRPr="00D73CEC" w:rsidTr="00777D20">
        <w:tc>
          <w:tcPr>
            <w:tcW w:w="1843"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План-график закупок на 2021 год</w:t>
            </w:r>
          </w:p>
        </w:tc>
        <w:tc>
          <w:tcPr>
            <w:tcW w:w="1276"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 xml:space="preserve">03.12.2021 </w:t>
            </w:r>
            <w:r w:rsidRPr="00D73CEC">
              <w:rPr>
                <w:rFonts w:eastAsiaTheme="minorEastAsia"/>
                <w:sz w:val="16"/>
                <w:szCs w:val="16"/>
              </w:rPr>
              <w:t>(версия 16 окончательная)</w:t>
            </w:r>
          </w:p>
        </w:tc>
        <w:tc>
          <w:tcPr>
            <w:tcW w:w="4851"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Объем финансового обеспечения на текущий финансовый год</w:t>
            </w:r>
          </w:p>
        </w:tc>
        <w:tc>
          <w:tcPr>
            <w:tcW w:w="1367"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275,8</w:t>
            </w:r>
          </w:p>
        </w:tc>
      </w:tr>
      <w:tr w:rsidR="00D73CEC" w:rsidRPr="00D73CEC" w:rsidTr="00777D20">
        <w:tc>
          <w:tcPr>
            <w:tcW w:w="1843"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Смета</w:t>
            </w:r>
          </w:p>
          <w:p w:rsidR="00D73CEC" w:rsidRPr="00D73CEC" w:rsidRDefault="00D73CEC" w:rsidP="00D73CEC">
            <w:pPr>
              <w:spacing w:line="240" w:lineRule="auto"/>
              <w:ind w:firstLine="0"/>
              <w:rPr>
                <w:rFonts w:eastAsiaTheme="minorEastAsia"/>
                <w:sz w:val="20"/>
              </w:rPr>
            </w:pPr>
            <w:r w:rsidRPr="00D73CEC">
              <w:rPr>
                <w:rFonts w:eastAsiaTheme="minorEastAsia"/>
                <w:sz w:val="20"/>
              </w:rPr>
              <w:t xml:space="preserve"> на 01.01.2022 года</w:t>
            </w:r>
          </w:p>
        </w:tc>
        <w:tc>
          <w:tcPr>
            <w:tcW w:w="1276"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27.12.2021</w:t>
            </w:r>
          </w:p>
        </w:tc>
        <w:tc>
          <w:tcPr>
            <w:tcW w:w="4851"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На закупку товаров, работ (КВР 242,244)</w:t>
            </w:r>
          </w:p>
        </w:tc>
        <w:tc>
          <w:tcPr>
            <w:tcW w:w="1367"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465,9</w:t>
            </w:r>
          </w:p>
        </w:tc>
      </w:tr>
      <w:tr w:rsidR="00D73CEC" w:rsidRPr="00D73CEC" w:rsidTr="00777D20">
        <w:tc>
          <w:tcPr>
            <w:tcW w:w="1843"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План-график закупок на 2022 год</w:t>
            </w:r>
          </w:p>
        </w:tc>
        <w:tc>
          <w:tcPr>
            <w:tcW w:w="1276"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 xml:space="preserve">10.01.2022 </w:t>
            </w:r>
            <w:r w:rsidRPr="00D73CEC">
              <w:rPr>
                <w:rFonts w:eastAsiaTheme="minorEastAsia"/>
                <w:sz w:val="16"/>
                <w:szCs w:val="16"/>
              </w:rPr>
              <w:t>(версия 0)</w:t>
            </w:r>
          </w:p>
        </w:tc>
        <w:tc>
          <w:tcPr>
            <w:tcW w:w="4851" w:type="dxa"/>
          </w:tcPr>
          <w:p w:rsidR="00D73CEC" w:rsidRPr="00D73CEC" w:rsidRDefault="00D73CEC" w:rsidP="00D73CEC">
            <w:pPr>
              <w:spacing w:line="240" w:lineRule="auto"/>
              <w:ind w:firstLine="0"/>
              <w:rPr>
                <w:rFonts w:eastAsiaTheme="minorEastAsia"/>
                <w:sz w:val="20"/>
              </w:rPr>
            </w:pPr>
            <w:r w:rsidRPr="00D73CEC">
              <w:rPr>
                <w:rFonts w:eastAsiaTheme="minorEastAsia"/>
                <w:sz w:val="20"/>
              </w:rPr>
              <w:t>Объем финансового обеспечения на текущий финансовый год</w:t>
            </w:r>
          </w:p>
        </w:tc>
        <w:tc>
          <w:tcPr>
            <w:tcW w:w="1367" w:type="dxa"/>
          </w:tcPr>
          <w:p w:rsidR="00D73CEC" w:rsidRPr="00D73CEC" w:rsidRDefault="00D73CEC" w:rsidP="00D73CEC">
            <w:pPr>
              <w:spacing w:line="240" w:lineRule="auto"/>
              <w:ind w:firstLine="0"/>
              <w:jc w:val="center"/>
              <w:rPr>
                <w:rFonts w:eastAsiaTheme="minorEastAsia"/>
                <w:sz w:val="20"/>
              </w:rPr>
            </w:pPr>
            <w:r w:rsidRPr="00D73CEC">
              <w:rPr>
                <w:rFonts w:eastAsiaTheme="minorEastAsia"/>
                <w:sz w:val="20"/>
              </w:rPr>
              <w:t>5,0</w:t>
            </w:r>
          </w:p>
        </w:tc>
      </w:tr>
    </w:tbl>
    <w:p w:rsidR="00D73CEC" w:rsidRPr="00D73CEC" w:rsidRDefault="00D73CEC" w:rsidP="00D73CEC">
      <w:pPr>
        <w:spacing w:line="240" w:lineRule="auto"/>
        <w:ind w:left="284"/>
        <w:rPr>
          <w:color w:val="FF0000"/>
          <w:sz w:val="24"/>
          <w:szCs w:val="24"/>
        </w:rPr>
      </w:pPr>
    </w:p>
    <w:p w:rsidR="00D73CEC" w:rsidRPr="00D73CEC" w:rsidRDefault="00D73CEC" w:rsidP="00D73CEC">
      <w:pPr>
        <w:spacing w:line="240" w:lineRule="auto"/>
        <w:rPr>
          <w:i/>
          <w:sz w:val="24"/>
          <w:szCs w:val="24"/>
        </w:rPr>
      </w:pPr>
      <w:r w:rsidRPr="00D73CEC">
        <w:rPr>
          <w:i/>
          <w:sz w:val="24"/>
          <w:szCs w:val="24"/>
        </w:rPr>
        <w:t xml:space="preserve">Таким образом, </w:t>
      </w:r>
      <w:r w:rsidRPr="00D73CEC">
        <w:rPr>
          <w:rFonts w:eastAsiaTheme="minorEastAsia"/>
          <w:i/>
          <w:sz w:val="24"/>
          <w:szCs w:val="24"/>
          <w:shd w:val="clear" w:color="auto" w:fill="FFFFFF"/>
        </w:rPr>
        <w:t>дать оценку достоверности данных, указанных в бюджетных сметах МУДО «ДЮСШ» по направлениям расходов «</w:t>
      </w:r>
      <w:r w:rsidRPr="00D73CEC">
        <w:rPr>
          <w:i/>
          <w:sz w:val="24"/>
          <w:szCs w:val="24"/>
        </w:rPr>
        <w:t>Закупка товаров, работ, услуг»</w:t>
      </w:r>
      <w:r w:rsidRPr="00D73CEC">
        <w:rPr>
          <w:rFonts w:eastAsiaTheme="minorEastAsia"/>
          <w:i/>
          <w:sz w:val="24"/>
          <w:szCs w:val="24"/>
          <w:shd w:val="clear" w:color="auto" w:fill="FFFFFF"/>
        </w:rPr>
        <w:t xml:space="preserve"> на 2021 год и плановый период 2022 и 2023 годов, на 2022 год и плановый период 2023 и 2024 годов, не представляется возможным.</w:t>
      </w:r>
    </w:p>
    <w:p w:rsidR="00D73CEC" w:rsidRPr="00D73CEC" w:rsidRDefault="00D73CEC" w:rsidP="00D73CEC">
      <w:pPr>
        <w:spacing w:line="240" w:lineRule="auto"/>
        <w:rPr>
          <w:i/>
          <w:sz w:val="24"/>
          <w:szCs w:val="24"/>
        </w:rPr>
      </w:pPr>
    </w:p>
    <w:p w:rsidR="00D73CEC" w:rsidRPr="00D73CEC" w:rsidRDefault="00D73CEC" w:rsidP="00D73CEC">
      <w:pPr>
        <w:spacing w:line="240" w:lineRule="auto"/>
        <w:rPr>
          <w:sz w:val="24"/>
          <w:szCs w:val="24"/>
        </w:rPr>
      </w:pPr>
      <w:r w:rsidRPr="00D73CEC">
        <w:rPr>
          <w:rFonts w:eastAsiaTheme="minorEastAsia"/>
          <w:sz w:val="24"/>
          <w:szCs w:val="24"/>
        </w:rPr>
        <w:t xml:space="preserve">Анализ деятельности учреждения проводится с целью установить, насколько эффективно используются средства бюджета, направляемые на финансирование конкретного учреждения, соответствует ли объем услуг, оказываемых населению или другим субъектам хозяйствования, затратам, которые несет государство по их оказанию. Содержанием анализа исполнения бюджетной сметы является оценка эффективности, результативности и продуктивности использования выделенных учреждению </w:t>
      </w:r>
      <w:r w:rsidRPr="00D73CEC">
        <w:rPr>
          <w:rFonts w:eastAsiaTheme="minorEastAsia"/>
          <w:sz w:val="24"/>
          <w:szCs w:val="24"/>
        </w:rPr>
        <w:lastRenderedPageBreak/>
        <w:t>материальных, трудовых и финансовых ресурсов, выявление отклонений фактических расходов от сметных назначений, а также количественная оценка влияния факторов, вызвавших эти отклонения</w:t>
      </w:r>
    </w:p>
    <w:p w:rsidR="00D73CEC" w:rsidRPr="00D73CEC" w:rsidRDefault="00D73CEC" w:rsidP="00D73CEC">
      <w:pPr>
        <w:spacing w:line="240" w:lineRule="auto"/>
        <w:rPr>
          <w:sz w:val="24"/>
          <w:szCs w:val="24"/>
        </w:rPr>
      </w:pPr>
      <w:r w:rsidRPr="00D73CEC">
        <w:rPr>
          <w:rFonts w:eastAsiaTheme="minorEastAsia"/>
          <w:sz w:val="24"/>
          <w:szCs w:val="24"/>
        </w:rPr>
        <w:t xml:space="preserve">В соответствии с требованиями статьи 69.1 БК РФ </w:t>
      </w:r>
      <w:r w:rsidRPr="00D73CEC">
        <w:rPr>
          <w:sz w:val="24"/>
          <w:szCs w:val="24"/>
        </w:rPr>
        <w:t>к бюджетным ассигнованиям на оказание государственных (муниципальных) услуг (выполнение работ) относятся ассигнования на обеспечение выполнения функций казенных учреждений, в том числе по оказанию государственных (муниципальных) услуг (выполнению работ).</w:t>
      </w:r>
    </w:p>
    <w:p w:rsidR="00D73CEC" w:rsidRPr="00D73CEC" w:rsidRDefault="00D73CEC" w:rsidP="00D73CEC">
      <w:pPr>
        <w:shd w:val="clear" w:color="auto" w:fill="FFFFFF"/>
        <w:spacing w:line="240" w:lineRule="auto"/>
        <w:textAlignment w:val="baseline"/>
        <w:rPr>
          <w:sz w:val="24"/>
          <w:szCs w:val="24"/>
        </w:rPr>
      </w:pPr>
      <w:r w:rsidRPr="00D73CEC">
        <w:rPr>
          <w:sz w:val="24"/>
          <w:szCs w:val="24"/>
        </w:rPr>
        <w:t>В проверяемом периоде исполненные расходы Учреждения  составили в 2021 году 4 750,0 тыс. рублей или 98,6% от расходов Учреждения всего и 99,9% от объема принятых обязательств. 72,6% общего объема расходов Учреждения и 74,9% от объема принятых обязательств. Информация об исполнении бюджетных обязательств представлена в таблице (в тыс. рублей):</w:t>
      </w:r>
    </w:p>
    <w:p w:rsidR="00D73CEC" w:rsidRPr="00D73CEC" w:rsidRDefault="00D73CEC" w:rsidP="00D73CEC">
      <w:pPr>
        <w:spacing w:line="240" w:lineRule="auto"/>
        <w:rPr>
          <w:sz w:val="24"/>
          <w:szCs w:val="24"/>
        </w:rPr>
      </w:pPr>
    </w:p>
    <w:tbl>
      <w:tblPr>
        <w:tblStyle w:val="22"/>
        <w:tblW w:w="9782" w:type="dxa"/>
        <w:tblInd w:w="-431" w:type="dxa"/>
        <w:tblLayout w:type="fixed"/>
        <w:tblLook w:val="04A0" w:firstRow="1" w:lastRow="0" w:firstColumn="1" w:lastColumn="0" w:noHBand="0" w:noVBand="1"/>
      </w:tblPr>
      <w:tblGrid>
        <w:gridCol w:w="3403"/>
        <w:gridCol w:w="1418"/>
        <w:gridCol w:w="1275"/>
        <w:gridCol w:w="993"/>
        <w:gridCol w:w="1417"/>
        <w:gridCol w:w="1276"/>
      </w:tblGrid>
      <w:tr w:rsidR="00D73CEC" w:rsidRPr="00D73CEC" w:rsidTr="00D73CEC">
        <w:tc>
          <w:tcPr>
            <w:tcW w:w="3403" w:type="dxa"/>
            <w:vMerge w:val="restart"/>
          </w:tcPr>
          <w:p w:rsidR="00D73CEC" w:rsidRPr="00D73CEC" w:rsidRDefault="00D73CEC" w:rsidP="00D73CEC">
            <w:pPr>
              <w:spacing w:line="240" w:lineRule="auto"/>
              <w:ind w:firstLine="0"/>
              <w:rPr>
                <w:sz w:val="20"/>
              </w:rPr>
            </w:pPr>
          </w:p>
        </w:tc>
        <w:tc>
          <w:tcPr>
            <w:tcW w:w="1418" w:type="dxa"/>
            <w:vMerge w:val="restart"/>
          </w:tcPr>
          <w:p w:rsidR="00D73CEC" w:rsidRPr="00D73CEC" w:rsidRDefault="00D73CEC" w:rsidP="00D73CEC">
            <w:pPr>
              <w:spacing w:line="240" w:lineRule="auto"/>
              <w:ind w:firstLine="0"/>
              <w:jc w:val="center"/>
              <w:rPr>
                <w:sz w:val="20"/>
              </w:rPr>
            </w:pPr>
            <w:r w:rsidRPr="00D73CEC">
              <w:rPr>
                <w:sz w:val="20"/>
              </w:rPr>
              <w:t>Утвержден</w:t>
            </w:r>
            <w:r>
              <w:rPr>
                <w:sz w:val="20"/>
              </w:rPr>
              <w:t>-</w:t>
            </w:r>
            <w:r w:rsidRPr="00D73CEC">
              <w:rPr>
                <w:sz w:val="20"/>
              </w:rPr>
              <w:t>ные бюджетные ассигнования</w:t>
            </w:r>
          </w:p>
        </w:tc>
        <w:tc>
          <w:tcPr>
            <w:tcW w:w="1275" w:type="dxa"/>
            <w:vMerge w:val="restart"/>
          </w:tcPr>
          <w:p w:rsidR="00D73CEC" w:rsidRPr="00D73CEC" w:rsidRDefault="00D73CEC" w:rsidP="00D73CEC">
            <w:pPr>
              <w:spacing w:line="240" w:lineRule="auto"/>
              <w:ind w:left="-108" w:right="-108" w:firstLine="0"/>
              <w:jc w:val="center"/>
              <w:rPr>
                <w:sz w:val="20"/>
              </w:rPr>
            </w:pPr>
            <w:r w:rsidRPr="00D73CEC">
              <w:rPr>
                <w:sz w:val="20"/>
              </w:rPr>
              <w:t>Принятые бюджетные обязательства</w:t>
            </w:r>
          </w:p>
        </w:tc>
        <w:tc>
          <w:tcPr>
            <w:tcW w:w="993" w:type="dxa"/>
            <w:vMerge w:val="restart"/>
          </w:tcPr>
          <w:p w:rsidR="00D73CEC" w:rsidRPr="00D73CEC" w:rsidRDefault="00D73CEC" w:rsidP="00D73CEC">
            <w:pPr>
              <w:spacing w:line="240" w:lineRule="auto"/>
              <w:ind w:firstLine="0"/>
              <w:rPr>
                <w:sz w:val="20"/>
              </w:rPr>
            </w:pPr>
            <w:r w:rsidRPr="00D73CEC">
              <w:rPr>
                <w:sz w:val="20"/>
              </w:rPr>
              <w:t>Испол</w:t>
            </w:r>
            <w:r>
              <w:rPr>
                <w:sz w:val="20"/>
              </w:rPr>
              <w:t>-</w:t>
            </w:r>
            <w:r w:rsidRPr="00D73CEC">
              <w:rPr>
                <w:sz w:val="20"/>
              </w:rPr>
              <w:t>нено</w:t>
            </w:r>
          </w:p>
        </w:tc>
        <w:tc>
          <w:tcPr>
            <w:tcW w:w="2693" w:type="dxa"/>
            <w:gridSpan w:val="2"/>
          </w:tcPr>
          <w:p w:rsidR="00D73CEC" w:rsidRPr="00D73CEC" w:rsidRDefault="00D73CEC" w:rsidP="00D73CEC">
            <w:pPr>
              <w:spacing w:line="240" w:lineRule="auto"/>
              <w:ind w:firstLine="0"/>
              <w:jc w:val="center"/>
              <w:rPr>
                <w:sz w:val="20"/>
              </w:rPr>
            </w:pPr>
            <w:r w:rsidRPr="00D73CEC">
              <w:rPr>
                <w:sz w:val="20"/>
              </w:rPr>
              <w:t>Не исполнено</w:t>
            </w:r>
          </w:p>
        </w:tc>
      </w:tr>
      <w:tr w:rsidR="00D73CEC" w:rsidRPr="00D73CEC" w:rsidTr="00D73CEC">
        <w:tc>
          <w:tcPr>
            <w:tcW w:w="3403" w:type="dxa"/>
            <w:vMerge/>
          </w:tcPr>
          <w:p w:rsidR="00D73CEC" w:rsidRPr="00D73CEC" w:rsidRDefault="00D73CEC" w:rsidP="00D73CEC">
            <w:pPr>
              <w:spacing w:line="240" w:lineRule="auto"/>
              <w:ind w:firstLine="0"/>
              <w:rPr>
                <w:sz w:val="20"/>
              </w:rPr>
            </w:pPr>
          </w:p>
        </w:tc>
        <w:tc>
          <w:tcPr>
            <w:tcW w:w="1418" w:type="dxa"/>
            <w:vMerge/>
          </w:tcPr>
          <w:p w:rsidR="00D73CEC" w:rsidRPr="00D73CEC" w:rsidRDefault="00D73CEC" w:rsidP="00D73CEC">
            <w:pPr>
              <w:spacing w:line="240" w:lineRule="auto"/>
              <w:ind w:firstLine="0"/>
              <w:jc w:val="center"/>
              <w:rPr>
                <w:sz w:val="20"/>
              </w:rPr>
            </w:pPr>
          </w:p>
        </w:tc>
        <w:tc>
          <w:tcPr>
            <w:tcW w:w="1275" w:type="dxa"/>
            <w:vMerge/>
          </w:tcPr>
          <w:p w:rsidR="00D73CEC" w:rsidRPr="00D73CEC" w:rsidRDefault="00D73CEC" w:rsidP="00D73CEC">
            <w:pPr>
              <w:spacing w:line="240" w:lineRule="auto"/>
              <w:ind w:left="-108" w:right="-108" w:firstLine="0"/>
              <w:jc w:val="center"/>
              <w:rPr>
                <w:sz w:val="20"/>
              </w:rPr>
            </w:pPr>
          </w:p>
        </w:tc>
        <w:tc>
          <w:tcPr>
            <w:tcW w:w="993" w:type="dxa"/>
            <w:vMerge/>
          </w:tcPr>
          <w:p w:rsidR="00D73CEC" w:rsidRPr="00D73CEC" w:rsidRDefault="00D73CEC" w:rsidP="00D73CEC">
            <w:pPr>
              <w:spacing w:line="240" w:lineRule="auto"/>
              <w:ind w:firstLine="0"/>
              <w:rPr>
                <w:sz w:val="20"/>
              </w:rPr>
            </w:pPr>
          </w:p>
        </w:tc>
        <w:tc>
          <w:tcPr>
            <w:tcW w:w="1417" w:type="dxa"/>
          </w:tcPr>
          <w:p w:rsidR="00D73CEC" w:rsidRPr="00D73CEC" w:rsidRDefault="00D73CEC" w:rsidP="00D73CEC">
            <w:pPr>
              <w:spacing w:line="240" w:lineRule="auto"/>
              <w:ind w:firstLine="0"/>
              <w:jc w:val="center"/>
              <w:rPr>
                <w:sz w:val="20"/>
              </w:rPr>
            </w:pPr>
            <w:r w:rsidRPr="00D73CEC">
              <w:rPr>
                <w:sz w:val="20"/>
              </w:rPr>
              <w:t>Утвержден</w:t>
            </w:r>
            <w:r>
              <w:rPr>
                <w:sz w:val="20"/>
              </w:rPr>
              <w:t>-</w:t>
            </w:r>
            <w:r w:rsidRPr="00D73CEC">
              <w:rPr>
                <w:sz w:val="20"/>
              </w:rPr>
              <w:t>ных бюджетных ассигнований</w:t>
            </w:r>
          </w:p>
        </w:tc>
        <w:tc>
          <w:tcPr>
            <w:tcW w:w="1276" w:type="dxa"/>
          </w:tcPr>
          <w:p w:rsidR="00D73CEC" w:rsidRPr="00D73CEC" w:rsidRDefault="00D73CEC" w:rsidP="00D73CEC">
            <w:pPr>
              <w:spacing w:line="240" w:lineRule="auto"/>
              <w:ind w:firstLine="0"/>
              <w:jc w:val="center"/>
              <w:rPr>
                <w:sz w:val="20"/>
              </w:rPr>
            </w:pPr>
            <w:r w:rsidRPr="00D73CEC">
              <w:rPr>
                <w:sz w:val="20"/>
              </w:rPr>
              <w:t>Принятых бюджетных обязательств</w:t>
            </w:r>
          </w:p>
        </w:tc>
      </w:tr>
      <w:tr w:rsidR="00D73CEC" w:rsidRPr="00D73CEC" w:rsidTr="00D73CEC">
        <w:tc>
          <w:tcPr>
            <w:tcW w:w="3403" w:type="dxa"/>
          </w:tcPr>
          <w:p w:rsidR="00D73CEC" w:rsidRPr="00D73CEC" w:rsidRDefault="00D73CEC" w:rsidP="00D73CEC">
            <w:pPr>
              <w:spacing w:line="240" w:lineRule="auto"/>
              <w:ind w:firstLine="0"/>
              <w:rPr>
                <w:sz w:val="20"/>
              </w:rPr>
            </w:pPr>
            <w:r w:rsidRPr="00D73CEC">
              <w:rPr>
                <w:sz w:val="20"/>
              </w:rPr>
              <w:t>Расходы Учреждения всего</w:t>
            </w:r>
          </w:p>
        </w:tc>
        <w:tc>
          <w:tcPr>
            <w:tcW w:w="1418" w:type="dxa"/>
          </w:tcPr>
          <w:p w:rsidR="00D73CEC" w:rsidRPr="00D73CEC" w:rsidRDefault="00D73CEC" w:rsidP="00D73CEC">
            <w:pPr>
              <w:spacing w:line="240" w:lineRule="auto"/>
              <w:ind w:firstLine="0"/>
              <w:jc w:val="center"/>
              <w:rPr>
                <w:sz w:val="20"/>
              </w:rPr>
            </w:pPr>
            <w:r w:rsidRPr="00D73CEC">
              <w:rPr>
                <w:sz w:val="20"/>
              </w:rPr>
              <w:t>4817,0</w:t>
            </w:r>
          </w:p>
        </w:tc>
        <w:tc>
          <w:tcPr>
            <w:tcW w:w="1275" w:type="dxa"/>
          </w:tcPr>
          <w:p w:rsidR="00D73CEC" w:rsidRPr="00D73CEC" w:rsidRDefault="00D73CEC" w:rsidP="00D73CEC">
            <w:pPr>
              <w:spacing w:line="240" w:lineRule="auto"/>
              <w:ind w:firstLine="0"/>
              <w:jc w:val="center"/>
              <w:rPr>
                <w:sz w:val="20"/>
              </w:rPr>
            </w:pPr>
            <w:r w:rsidRPr="00D73CEC">
              <w:rPr>
                <w:sz w:val="20"/>
              </w:rPr>
              <w:t>4751,7</w:t>
            </w:r>
          </w:p>
        </w:tc>
        <w:tc>
          <w:tcPr>
            <w:tcW w:w="993" w:type="dxa"/>
          </w:tcPr>
          <w:p w:rsidR="00D73CEC" w:rsidRPr="00D73CEC" w:rsidRDefault="00D73CEC" w:rsidP="00D73CEC">
            <w:pPr>
              <w:spacing w:line="240" w:lineRule="auto"/>
              <w:ind w:firstLine="0"/>
              <w:jc w:val="center"/>
              <w:rPr>
                <w:sz w:val="20"/>
              </w:rPr>
            </w:pPr>
            <w:r w:rsidRPr="00D73CEC">
              <w:rPr>
                <w:sz w:val="20"/>
              </w:rPr>
              <w:t>4750,0</w:t>
            </w:r>
          </w:p>
        </w:tc>
        <w:tc>
          <w:tcPr>
            <w:tcW w:w="1417" w:type="dxa"/>
          </w:tcPr>
          <w:p w:rsidR="00D73CEC" w:rsidRPr="00D73CEC" w:rsidRDefault="00D73CEC" w:rsidP="00D73CEC">
            <w:pPr>
              <w:spacing w:line="240" w:lineRule="auto"/>
              <w:ind w:firstLine="0"/>
              <w:jc w:val="center"/>
              <w:rPr>
                <w:sz w:val="20"/>
              </w:rPr>
            </w:pPr>
            <w:r w:rsidRPr="00D73CEC">
              <w:rPr>
                <w:sz w:val="20"/>
              </w:rPr>
              <w:t>67,0</w:t>
            </w:r>
          </w:p>
        </w:tc>
        <w:tc>
          <w:tcPr>
            <w:tcW w:w="1276" w:type="dxa"/>
          </w:tcPr>
          <w:p w:rsidR="00D73CEC" w:rsidRPr="00D73CEC" w:rsidRDefault="00D73CEC" w:rsidP="00D73CEC">
            <w:pPr>
              <w:spacing w:line="240" w:lineRule="auto"/>
              <w:ind w:firstLine="0"/>
              <w:jc w:val="center"/>
              <w:rPr>
                <w:sz w:val="20"/>
              </w:rPr>
            </w:pPr>
            <w:r w:rsidRPr="00D73CEC">
              <w:rPr>
                <w:sz w:val="20"/>
              </w:rPr>
              <w:t>1,7</w:t>
            </w:r>
          </w:p>
        </w:tc>
      </w:tr>
      <w:tr w:rsidR="00D73CEC" w:rsidRPr="00D73CEC" w:rsidTr="00D73CEC">
        <w:tc>
          <w:tcPr>
            <w:tcW w:w="3403" w:type="dxa"/>
          </w:tcPr>
          <w:p w:rsidR="00D73CEC" w:rsidRPr="00D73CEC" w:rsidRDefault="00D73CEC" w:rsidP="00D73CEC">
            <w:pPr>
              <w:spacing w:line="240" w:lineRule="auto"/>
              <w:ind w:firstLine="0"/>
              <w:rPr>
                <w:sz w:val="20"/>
              </w:rPr>
            </w:pPr>
            <w:r w:rsidRPr="00D73CEC">
              <w:rPr>
                <w:sz w:val="20"/>
              </w:rPr>
              <w:t>в том числе</w:t>
            </w:r>
          </w:p>
        </w:tc>
        <w:tc>
          <w:tcPr>
            <w:tcW w:w="1418" w:type="dxa"/>
          </w:tcPr>
          <w:p w:rsidR="00D73CEC" w:rsidRPr="00D73CEC" w:rsidRDefault="00D73CEC" w:rsidP="00D73CEC">
            <w:pPr>
              <w:spacing w:line="240" w:lineRule="auto"/>
              <w:ind w:firstLine="0"/>
              <w:jc w:val="center"/>
              <w:rPr>
                <w:sz w:val="20"/>
              </w:rPr>
            </w:pPr>
          </w:p>
        </w:tc>
        <w:tc>
          <w:tcPr>
            <w:tcW w:w="1275" w:type="dxa"/>
          </w:tcPr>
          <w:p w:rsidR="00D73CEC" w:rsidRPr="00D73CEC" w:rsidRDefault="00D73CEC" w:rsidP="00D73CEC">
            <w:pPr>
              <w:spacing w:line="240" w:lineRule="auto"/>
              <w:ind w:firstLine="0"/>
              <w:jc w:val="center"/>
              <w:rPr>
                <w:sz w:val="20"/>
              </w:rPr>
            </w:pPr>
          </w:p>
        </w:tc>
        <w:tc>
          <w:tcPr>
            <w:tcW w:w="993" w:type="dxa"/>
          </w:tcPr>
          <w:p w:rsidR="00D73CEC" w:rsidRPr="00D73CEC" w:rsidRDefault="00D73CEC" w:rsidP="00D73CEC">
            <w:pPr>
              <w:spacing w:line="240" w:lineRule="auto"/>
              <w:ind w:firstLine="0"/>
              <w:jc w:val="center"/>
              <w:rPr>
                <w:sz w:val="20"/>
              </w:rPr>
            </w:pPr>
          </w:p>
        </w:tc>
        <w:tc>
          <w:tcPr>
            <w:tcW w:w="1417" w:type="dxa"/>
          </w:tcPr>
          <w:p w:rsidR="00D73CEC" w:rsidRPr="00D73CEC" w:rsidRDefault="00D73CEC" w:rsidP="00D73CEC">
            <w:pPr>
              <w:spacing w:line="240" w:lineRule="auto"/>
              <w:ind w:firstLine="0"/>
              <w:jc w:val="center"/>
              <w:rPr>
                <w:sz w:val="20"/>
              </w:rPr>
            </w:pPr>
          </w:p>
        </w:tc>
        <w:tc>
          <w:tcPr>
            <w:tcW w:w="1276" w:type="dxa"/>
          </w:tcPr>
          <w:p w:rsidR="00D73CEC" w:rsidRPr="00D73CEC" w:rsidRDefault="00D73CEC" w:rsidP="00D73CEC">
            <w:pPr>
              <w:spacing w:line="240" w:lineRule="auto"/>
              <w:ind w:firstLine="0"/>
              <w:jc w:val="center"/>
              <w:rPr>
                <w:sz w:val="20"/>
              </w:rPr>
            </w:pPr>
          </w:p>
        </w:tc>
      </w:tr>
      <w:tr w:rsidR="00D73CEC" w:rsidRPr="00D73CEC" w:rsidTr="00D73CEC">
        <w:tc>
          <w:tcPr>
            <w:tcW w:w="3403" w:type="dxa"/>
          </w:tcPr>
          <w:p w:rsidR="00D73CEC" w:rsidRPr="00D73CEC" w:rsidRDefault="00D73CEC" w:rsidP="00D73CEC">
            <w:pPr>
              <w:spacing w:line="240" w:lineRule="auto"/>
              <w:ind w:firstLine="0"/>
              <w:rPr>
                <w:sz w:val="20"/>
              </w:rPr>
            </w:pPr>
            <w:r w:rsidRPr="00D73CEC">
              <w:rPr>
                <w:sz w:val="20"/>
              </w:rPr>
              <w:t>Фонд оплаты труда учреждений</w:t>
            </w:r>
          </w:p>
        </w:tc>
        <w:tc>
          <w:tcPr>
            <w:tcW w:w="1418" w:type="dxa"/>
          </w:tcPr>
          <w:p w:rsidR="00D73CEC" w:rsidRPr="00D73CEC" w:rsidRDefault="00D73CEC" w:rsidP="00D73CEC">
            <w:pPr>
              <w:spacing w:line="240" w:lineRule="auto"/>
              <w:ind w:firstLine="0"/>
              <w:jc w:val="center"/>
              <w:rPr>
                <w:sz w:val="20"/>
              </w:rPr>
            </w:pPr>
            <w:r w:rsidRPr="00D73CEC">
              <w:rPr>
                <w:sz w:val="20"/>
              </w:rPr>
              <w:t>3436,5</w:t>
            </w:r>
          </w:p>
        </w:tc>
        <w:tc>
          <w:tcPr>
            <w:tcW w:w="1275" w:type="dxa"/>
          </w:tcPr>
          <w:p w:rsidR="00D73CEC" w:rsidRPr="00D73CEC" w:rsidRDefault="00D73CEC" w:rsidP="00D73CEC">
            <w:pPr>
              <w:spacing w:line="240" w:lineRule="auto"/>
              <w:ind w:firstLine="0"/>
              <w:jc w:val="center"/>
              <w:rPr>
                <w:sz w:val="20"/>
              </w:rPr>
            </w:pPr>
            <w:r w:rsidRPr="00D73CEC">
              <w:rPr>
                <w:sz w:val="20"/>
              </w:rPr>
              <w:t>3401,5</w:t>
            </w:r>
          </w:p>
        </w:tc>
        <w:tc>
          <w:tcPr>
            <w:tcW w:w="993" w:type="dxa"/>
          </w:tcPr>
          <w:p w:rsidR="00D73CEC" w:rsidRPr="00D73CEC" w:rsidRDefault="00D73CEC" w:rsidP="00D73CEC">
            <w:pPr>
              <w:spacing w:line="240" w:lineRule="auto"/>
              <w:ind w:firstLine="0"/>
              <w:jc w:val="center"/>
              <w:rPr>
                <w:sz w:val="20"/>
              </w:rPr>
            </w:pPr>
            <w:r w:rsidRPr="00D73CEC">
              <w:rPr>
                <w:sz w:val="20"/>
              </w:rPr>
              <w:t>3401,5</w:t>
            </w:r>
          </w:p>
        </w:tc>
        <w:tc>
          <w:tcPr>
            <w:tcW w:w="1417" w:type="dxa"/>
          </w:tcPr>
          <w:p w:rsidR="00D73CEC" w:rsidRPr="00D73CEC" w:rsidRDefault="00D73CEC" w:rsidP="00D73CEC">
            <w:pPr>
              <w:spacing w:line="240" w:lineRule="auto"/>
              <w:ind w:firstLine="0"/>
              <w:jc w:val="center"/>
              <w:rPr>
                <w:sz w:val="20"/>
              </w:rPr>
            </w:pPr>
            <w:r w:rsidRPr="00D73CEC">
              <w:rPr>
                <w:sz w:val="20"/>
              </w:rPr>
              <w:t>35,0</w:t>
            </w:r>
          </w:p>
        </w:tc>
        <w:tc>
          <w:tcPr>
            <w:tcW w:w="1276" w:type="dxa"/>
          </w:tcPr>
          <w:p w:rsidR="00D73CEC" w:rsidRPr="00D73CEC" w:rsidRDefault="00D73CEC" w:rsidP="00D73CEC">
            <w:pPr>
              <w:spacing w:line="240" w:lineRule="auto"/>
              <w:ind w:firstLine="0"/>
              <w:jc w:val="center"/>
              <w:rPr>
                <w:sz w:val="20"/>
              </w:rPr>
            </w:pPr>
            <w:r w:rsidRPr="00D73CEC">
              <w:rPr>
                <w:sz w:val="20"/>
              </w:rPr>
              <w:t>0</w:t>
            </w:r>
          </w:p>
        </w:tc>
      </w:tr>
      <w:tr w:rsidR="00D73CEC" w:rsidRPr="00D73CEC" w:rsidTr="00D73CEC">
        <w:tc>
          <w:tcPr>
            <w:tcW w:w="3403" w:type="dxa"/>
          </w:tcPr>
          <w:p w:rsidR="00D73CEC" w:rsidRPr="00D73CEC" w:rsidRDefault="00D73CEC" w:rsidP="00D73CEC">
            <w:pPr>
              <w:spacing w:line="240" w:lineRule="auto"/>
              <w:ind w:firstLine="0"/>
              <w:rPr>
                <w:sz w:val="20"/>
              </w:rPr>
            </w:pPr>
            <w:r w:rsidRPr="00D73CEC">
              <w:rPr>
                <w:sz w:val="20"/>
              </w:rPr>
              <w:t>Взносы по обязательному социальному страхованию на выплаты по оплате труда</w:t>
            </w:r>
          </w:p>
        </w:tc>
        <w:tc>
          <w:tcPr>
            <w:tcW w:w="1418" w:type="dxa"/>
          </w:tcPr>
          <w:p w:rsidR="00D73CEC" w:rsidRPr="00D73CEC" w:rsidRDefault="00D73CEC" w:rsidP="00D73CEC">
            <w:pPr>
              <w:spacing w:line="240" w:lineRule="auto"/>
              <w:ind w:firstLine="0"/>
              <w:jc w:val="center"/>
              <w:rPr>
                <w:sz w:val="20"/>
              </w:rPr>
            </w:pPr>
            <w:r w:rsidRPr="00D73CEC">
              <w:rPr>
                <w:sz w:val="20"/>
              </w:rPr>
              <w:t>1031,8</w:t>
            </w:r>
          </w:p>
        </w:tc>
        <w:tc>
          <w:tcPr>
            <w:tcW w:w="1275" w:type="dxa"/>
          </w:tcPr>
          <w:p w:rsidR="00D73CEC" w:rsidRPr="00D73CEC" w:rsidRDefault="00D73CEC" w:rsidP="00D73CEC">
            <w:pPr>
              <w:spacing w:line="240" w:lineRule="auto"/>
              <w:ind w:firstLine="0"/>
              <w:jc w:val="center"/>
              <w:rPr>
                <w:sz w:val="20"/>
              </w:rPr>
            </w:pPr>
            <w:r w:rsidRPr="00D73CEC">
              <w:rPr>
                <w:sz w:val="20"/>
              </w:rPr>
              <w:t>1027,3</w:t>
            </w:r>
          </w:p>
        </w:tc>
        <w:tc>
          <w:tcPr>
            <w:tcW w:w="993" w:type="dxa"/>
          </w:tcPr>
          <w:p w:rsidR="00D73CEC" w:rsidRPr="00D73CEC" w:rsidRDefault="00D73CEC" w:rsidP="00D73CEC">
            <w:pPr>
              <w:spacing w:line="240" w:lineRule="auto"/>
              <w:ind w:firstLine="0"/>
              <w:jc w:val="center"/>
              <w:rPr>
                <w:sz w:val="20"/>
              </w:rPr>
            </w:pPr>
            <w:r w:rsidRPr="00D73CEC">
              <w:rPr>
                <w:sz w:val="20"/>
              </w:rPr>
              <w:t>1027,3</w:t>
            </w:r>
          </w:p>
        </w:tc>
        <w:tc>
          <w:tcPr>
            <w:tcW w:w="1417" w:type="dxa"/>
          </w:tcPr>
          <w:p w:rsidR="00D73CEC" w:rsidRPr="00D73CEC" w:rsidRDefault="00D73CEC" w:rsidP="00D73CEC">
            <w:pPr>
              <w:spacing w:line="240" w:lineRule="auto"/>
              <w:ind w:firstLine="0"/>
              <w:jc w:val="center"/>
              <w:rPr>
                <w:sz w:val="20"/>
              </w:rPr>
            </w:pPr>
            <w:r w:rsidRPr="00D73CEC">
              <w:rPr>
                <w:sz w:val="20"/>
              </w:rPr>
              <w:t>4,5</w:t>
            </w:r>
          </w:p>
        </w:tc>
        <w:tc>
          <w:tcPr>
            <w:tcW w:w="1276" w:type="dxa"/>
          </w:tcPr>
          <w:p w:rsidR="00D73CEC" w:rsidRPr="00D73CEC" w:rsidRDefault="00D73CEC" w:rsidP="00D73CEC">
            <w:pPr>
              <w:spacing w:line="240" w:lineRule="auto"/>
              <w:ind w:firstLine="0"/>
              <w:jc w:val="center"/>
              <w:rPr>
                <w:sz w:val="20"/>
              </w:rPr>
            </w:pPr>
            <w:r w:rsidRPr="00D73CEC">
              <w:rPr>
                <w:sz w:val="20"/>
              </w:rPr>
              <w:t>0</w:t>
            </w:r>
          </w:p>
        </w:tc>
      </w:tr>
      <w:tr w:rsidR="00D73CEC" w:rsidRPr="00D73CEC" w:rsidTr="00D73CEC">
        <w:tc>
          <w:tcPr>
            <w:tcW w:w="3403" w:type="dxa"/>
          </w:tcPr>
          <w:p w:rsidR="00D73CEC" w:rsidRPr="00D73CEC" w:rsidRDefault="00D73CEC" w:rsidP="00D73CEC">
            <w:pPr>
              <w:spacing w:line="240" w:lineRule="auto"/>
              <w:ind w:firstLine="0"/>
              <w:rPr>
                <w:sz w:val="20"/>
              </w:rPr>
            </w:pPr>
            <w:r w:rsidRPr="00D73CEC">
              <w:rPr>
                <w:sz w:val="20"/>
              </w:rPr>
              <w:t>Закупка товаров, работ и услуг для обеспечения государственных (муниципальных) нужд</w:t>
            </w:r>
          </w:p>
        </w:tc>
        <w:tc>
          <w:tcPr>
            <w:tcW w:w="1418" w:type="dxa"/>
          </w:tcPr>
          <w:p w:rsidR="00D73CEC" w:rsidRPr="00D73CEC" w:rsidRDefault="00D73CEC" w:rsidP="00D73CEC">
            <w:pPr>
              <w:spacing w:line="240" w:lineRule="auto"/>
              <w:ind w:firstLine="0"/>
              <w:jc w:val="center"/>
              <w:rPr>
                <w:sz w:val="20"/>
              </w:rPr>
            </w:pPr>
            <w:r w:rsidRPr="00D73CEC">
              <w:rPr>
                <w:sz w:val="20"/>
              </w:rPr>
              <w:t>348,8</w:t>
            </w:r>
          </w:p>
        </w:tc>
        <w:tc>
          <w:tcPr>
            <w:tcW w:w="1275" w:type="dxa"/>
          </w:tcPr>
          <w:p w:rsidR="00D73CEC" w:rsidRPr="00D73CEC" w:rsidRDefault="00D73CEC" w:rsidP="00D73CEC">
            <w:pPr>
              <w:spacing w:line="240" w:lineRule="auto"/>
              <w:ind w:firstLine="0"/>
              <w:jc w:val="center"/>
              <w:rPr>
                <w:sz w:val="20"/>
              </w:rPr>
            </w:pPr>
            <w:r w:rsidRPr="00D73CEC">
              <w:rPr>
                <w:sz w:val="20"/>
              </w:rPr>
              <w:t>322,9</w:t>
            </w:r>
          </w:p>
        </w:tc>
        <w:tc>
          <w:tcPr>
            <w:tcW w:w="993" w:type="dxa"/>
          </w:tcPr>
          <w:p w:rsidR="00D73CEC" w:rsidRPr="00D73CEC" w:rsidRDefault="00D73CEC" w:rsidP="00D73CEC">
            <w:pPr>
              <w:spacing w:line="240" w:lineRule="auto"/>
              <w:ind w:firstLine="0"/>
              <w:jc w:val="center"/>
              <w:rPr>
                <w:sz w:val="20"/>
              </w:rPr>
            </w:pPr>
            <w:r w:rsidRPr="00D73CEC">
              <w:rPr>
                <w:sz w:val="20"/>
              </w:rPr>
              <w:t>321,2</w:t>
            </w:r>
          </w:p>
        </w:tc>
        <w:tc>
          <w:tcPr>
            <w:tcW w:w="1417" w:type="dxa"/>
          </w:tcPr>
          <w:p w:rsidR="00D73CEC" w:rsidRPr="00D73CEC" w:rsidRDefault="00D73CEC" w:rsidP="00D73CEC">
            <w:pPr>
              <w:spacing w:line="240" w:lineRule="auto"/>
              <w:ind w:firstLine="0"/>
              <w:jc w:val="center"/>
              <w:rPr>
                <w:sz w:val="20"/>
              </w:rPr>
            </w:pPr>
            <w:r w:rsidRPr="00D73CEC">
              <w:rPr>
                <w:sz w:val="20"/>
              </w:rPr>
              <w:t>27,6</w:t>
            </w:r>
          </w:p>
        </w:tc>
        <w:tc>
          <w:tcPr>
            <w:tcW w:w="1276" w:type="dxa"/>
          </w:tcPr>
          <w:p w:rsidR="00D73CEC" w:rsidRPr="00D73CEC" w:rsidRDefault="00D73CEC" w:rsidP="00D73CEC">
            <w:pPr>
              <w:spacing w:line="240" w:lineRule="auto"/>
              <w:ind w:firstLine="0"/>
              <w:jc w:val="center"/>
              <w:rPr>
                <w:sz w:val="20"/>
              </w:rPr>
            </w:pPr>
            <w:r w:rsidRPr="00D73CEC">
              <w:rPr>
                <w:sz w:val="20"/>
              </w:rPr>
              <w:t>1,7</w:t>
            </w:r>
          </w:p>
        </w:tc>
      </w:tr>
    </w:tbl>
    <w:p w:rsidR="00D73CEC" w:rsidRDefault="00D73CEC" w:rsidP="00D73CEC">
      <w:pPr>
        <w:pStyle w:val="a8"/>
        <w:widowControl w:val="0"/>
        <w:autoSpaceDE w:val="0"/>
        <w:autoSpaceDN w:val="0"/>
        <w:adjustRightInd w:val="0"/>
        <w:spacing w:line="240" w:lineRule="auto"/>
        <w:ind w:left="1069"/>
        <w:rPr>
          <w:sz w:val="24"/>
          <w:szCs w:val="24"/>
        </w:rPr>
      </w:pPr>
    </w:p>
    <w:p w:rsidR="000A1B8C" w:rsidRPr="000A1B8C" w:rsidRDefault="000A1B8C" w:rsidP="000A1B8C">
      <w:pPr>
        <w:pStyle w:val="a8"/>
        <w:numPr>
          <w:ilvl w:val="0"/>
          <w:numId w:val="12"/>
        </w:numPr>
        <w:spacing w:after="0" w:line="240" w:lineRule="auto"/>
        <w:ind w:left="0" w:firstLine="709"/>
        <w:jc w:val="both"/>
        <w:rPr>
          <w:rFonts w:ascii="Times New Roman" w:hAnsi="Times New Roman" w:cs="Times New Roman"/>
          <w:sz w:val="24"/>
          <w:szCs w:val="24"/>
        </w:rPr>
      </w:pPr>
      <w:r w:rsidRPr="000A1B8C">
        <w:rPr>
          <w:rFonts w:ascii="Times New Roman" w:hAnsi="Times New Roman" w:cs="Times New Roman"/>
          <w:sz w:val="24"/>
          <w:szCs w:val="24"/>
        </w:rPr>
        <w:t xml:space="preserve">В проверяемом периоде финансирование МУ «ДЮСШ» проводилось в рамках  муниципальной программы городского округа Лотошино «Образование» подпрограмма </w:t>
      </w:r>
      <w:r w:rsidRPr="000A1B8C">
        <w:rPr>
          <w:rFonts w:ascii="Times New Roman" w:hAnsi="Times New Roman" w:cs="Times New Roman"/>
          <w:sz w:val="24"/>
          <w:szCs w:val="24"/>
          <w:lang w:val="en-US"/>
        </w:rPr>
        <w:t>III</w:t>
      </w:r>
      <w:r w:rsidRPr="000A1B8C">
        <w:rPr>
          <w:rFonts w:ascii="Times New Roman" w:hAnsi="Times New Roman" w:cs="Times New Roman"/>
          <w:sz w:val="24"/>
          <w:szCs w:val="24"/>
        </w:rPr>
        <w:t xml:space="preserve"> «Дополнительное образование, воспитание и психолого-социальное сопровождение детей» (в редакции изменений, действующих в проверяемом периоде).</w:t>
      </w:r>
      <w:r w:rsidRPr="000A1B8C">
        <w:rPr>
          <w:rFonts w:ascii="Times New Roman" w:hAnsi="Times New Roman" w:cs="Times New Roman"/>
          <w:sz w:val="20"/>
        </w:rPr>
        <w:t xml:space="preserve"> </w:t>
      </w:r>
      <w:r w:rsidRPr="000A1B8C">
        <w:rPr>
          <w:rFonts w:ascii="Times New Roman" w:hAnsi="Times New Roman" w:cs="Times New Roman"/>
          <w:sz w:val="24"/>
          <w:szCs w:val="24"/>
        </w:rPr>
        <w:t xml:space="preserve">Планируемые результаты реализации подпрограммы </w:t>
      </w:r>
      <w:r w:rsidRPr="000A1B8C">
        <w:rPr>
          <w:rFonts w:ascii="Times New Roman" w:hAnsi="Times New Roman" w:cs="Times New Roman"/>
          <w:sz w:val="24"/>
          <w:szCs w:val="24"/>
          <w:lang w:val="en-US"/>
        </w:rPr>
        <w:t>III</w:t>
      </w:r>
      <w:r w:rsidRPr="000A1B8C">
        <w:rPr>
          <w:rFonts w:ascii="Times New Roman" w:hAnsi="Times New Roman" w:cs="Times New Roman"/>
          <w:sz w:val="24"/>
          <w:szCs w:val="24"/>
        </w:rPr>
        <w:t xml:space="preserve"> муниципальной программы «Образование» представлены в таблице:</w:t>
      </w:r>
    </w:p>
    <w:p w:rsidR="000A1B8C" w:rsidRPr="000A1B8C" w:rsidRDefault="000A1B8C" w:rsidP="000A1B8C">
      <w:pPr>
        <w:spacing w:line="240" w:lineRule="auto"/>
        <w:ind w:left="709"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273"/>
        <w:gridCol w:w="1417"/>
        <w:gridCol w:w="851"/>
        <w:gridCol w:w="1276"/>
        <w:gridCol w:w="992"/>
      </w:tblGrid>
      <w:tr w:rsidR="000A1B8C" w:rsidRPr="004A1D0A" w:rsidTr="00777D20">
        <w:tc>
          <w:tcPr>
            <w:tcW w:w="547"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N п/п</w:t>
            </w:r>
          </w:p>
        </w:tc>
        <w:tc>
          <w:tcPr>
            <w:tcW w:w="4273"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Планируемые результаты реализации муниципальной</w:t>
            </w:r>
          </w:p>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программы</w:t>
            </w:r>
          </w:p>
        </w:tc>
        <w:tc>
          <w:tcPr>
            <w:tcW w:w="1417"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Тип показателя</w:t>
            </w:r>
            <w:hyperlink w:anchor="P717" w:history="1">
              <w:r w:rsidRPr="00FA4FE4">
                <w:rPr>
                  <w:rFonts w:ascii="Times New Roman" w:hAnsi="Times New Roman"/>
                  <w:color w:val="0000FF"/>
                  <w:sz w:val="16"/>
                  <w:szCs w:val="16"/>
                </w:rPr>
                <w:t>*</w:t>
              </w:r>
            </w:hyperlink>
          </w:p>
        </w:tc>
        <w:tc>
          <w:tcPr>
            <w:tcW w:w="851"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Единица измерения</w:t>
            </w:r>
          </w:p>
        </w:tc>
        <w:tc>
          <w:tcPr>
            <w:tcW w:w="1276"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Базовое значение на начало реализации подпрограммы</w:t>
            </w:r>
          </w:p>
        </w:tc>
        <w:tc>
          <w:tcPr>
            <w:tcW w:w="992"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lang w:val="en-US"/>
              </w:rPr>
              <w:t xml:space="preserve">2021 </w:t>
            </w:r>
            <w:r w:rsidRPr="00FA4FE4">
              <w:rPr>
                <w:rFonts w:ascii="Times New Roman" w:hAnsi="Times New Roman"/>
                <w:sz w:val="16"/>
                <w:szCs w:val="16"/>
              </w:rPr>
              <w:t>год</w:t>
            </w:r>
          </w:p>
        </w:tc>
      </w:tr>
      <w:tr w:rsidR="000A1B8C" w:rsidRPr="00787B62" w:rsidTr="0024038E">
        <w:trPr>
          <w:trHeight w:val="699"/>
        </w:trPr>
        <w:tc>
          <w:tcPr>
            <w:tcW w:w="547"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3.1</w:t>
            </w:r>
          </w:p>
        </w:tc>
        <w:tc>
          <w:tcPr>
            <w:tcW w:w="4273" w:type="dxa"/>
          </w:tcPr>
          <w:p w:rsidR="000A1B8C" w:rsidRPr="00FA4FE4" w:rsidRDefault="000A1B8C" w:rsidP="00777D20">
            <w:pPr>
              <w:pStyle w:val="ConsPlusNormal"/>
              <w:jc w:val="both"/>
              <w:rPr>
                <w:rFonts w:ascii="Times New Roman" w:hAnsi="Times New Roman"/>
                <w:sz w:val="16"/>
                <w:szCs w:val="16"/>
              </w:rPr>
            </w:pPr>
            <w:r w:rsidRPr="00FA4FE4">
              <w:rPr>
                <w:rFonts w:ascii="Times New Roman" w:hAnsi="Times New Roman"/>
                <w:sz w:val="16"/>
                <w:szCs w:val="16"/>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tc>
        <w:tc>
          <w:tcPr>
            <w:tcW w:w="1417"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Показатель к указу Президента Российской Федерации</w:t>
            </w:r>
          </w:p>
        </w:tc>
        <w:tc>
          <w:tcPr>
            <w:tcW w:w="851"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процент</w:t>
            </w:r>
          </w:p>
        </w:tc>
        <w:tc>
          <w:tcPr>
            <w:tcW w:w="1276"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100</w:t>
            </w:r>
          </w:p>
        </w:tc>
        <w:tc>
          <w:tcPr>
            <w:tcW w:w="992"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100</w:t>
            </w:r>
          </w:p>
        </w:tc>
      </w:tr>
      <w:tr w:rsidR="000A1B8C" w:rsidRPr="00787B62" w:rsidTr="0024038E">
        <w:trPr>
          <w:trHeight w:val="1307"/>
        </w:trPr>
        <w:tc>
          <w:tcPr>
            <w:tcW w:w="547"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3.4</w:t>
            </w:r>
          </w:p>
        </w:tc>
        <w:tc>
          <w:tcPr>
            <w:tcW w:w="4273" w:type="dxa"/>
          </w:tcPr>
          <w:p w:rsidR="000A1B8C" w:rsidRPr="00FA4FE4" w:rsidRDefault="000A1B8C" w:rsidP="00777D20">
            <w:pPr>
              <w:pStyle w:val="ConsPlusNormal"/>
              <w:jc w:val="both"/>
              <w:rPr>
                <w:rFonts w:ascii="Times New Roman" w:hAnsi="Times New Roman"/>
                <w:sz w:val="16"/>
                <w:szCs w:val="16"/>
              </w:rPr>
            </w:pPr>
            <w:r w:rsidRPr="00FA4FE4">
              <w:rPr>
                <w:rFonts w:ascii="Times New Roman" w:hAnsi="Times New Roman"/>
                <w:sz w:val="16"/>
                <w:szCs w:val="16"/>
              </w:rPr>
              <w:t>Число детей, охваченных деятельностью детских</w:t>
            </w:r>
          </w:p>
          <w:p w:rsidR="000A1B8C" w:rsidRPr="00FA4FE4" w:rsidRDefault="000A1B8C" w:rsidP="00777D20">
            <w:pPr>
              <w:pStyle w:val="ConsPlusNormal"/>
              <w:jc w:val="both"/>
              <w:rPr>
                <w:rFonts w:ascii="Times New Roman" w:hAnsi="Times New Roman"/>
                <w:sz w:val="16"/>
                <w:szCs w:val="16"/>
              </w:rPr>
            </w:pPr>
            <w:r w:rsidRPr="00FA4FE4">
              <w:rPr>
                <w:rFonts w:ascii="Times New Roman" w:hAnsi="Times New Roman"/>
                <w:sz w:val="16"/>
                <w:szCs w:val="16"/>
              </w:rPr>
              <w:t>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7"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Показатель к соглашению с ФОИВ по ФП «Успех каждого ребенка»</w:t>
            </w:r>
          </w:p>
        </w:tc>
        <w:tc>
          <w:tcPr>
            <w:tcW w:w="851"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Тыс. чел.</w:t>
            </w:r>
          </w:p>
        </w:tc>
        <w:tc>
          <w:tcPr>
            <w:tcW w:w="1276"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0</w:t>
            </w:r>
          </w:p>
        </w:tc>
        <w:tc>
          <w:tcPr>
            <w:tcW w:w="992"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0,044</w:t>
            </w:r>
          </w:p>
        </w:tc>
      </w:tr>
      <w:tr w:rsidR="000A1B8C" w:rsidRPr="00787B62" w:rsidTr="00777D20">
        <w:tc>
          <w:tcPr>
            <w:tcW w:w="547"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3.6</w:t>
            </w:r>
          </w:p>
        </w:tc>
        <w:tc>
          <w:tcPr>
            <w:tcW w:w="4273" w:type="dxa"/>
          </w:tcPr>
          <w:p w:rsidR="000A1B8C" w:rsidRPr="00FA4FE4" w:rsidRDefault="000A1B8C" w:rsidP="00777D20">
            <w:pPr>
              <w:pStyle w:val="ConsPlusNormal"/>
              <w:jc w:val="both"/>
              <w:rPr>
                <w:rFonts w:ascii="Times New Roman" w:hAnsi="Times New Roman"/>
                <w:sz w:val="16"/>
                <w:szCs w:val="16"/>
              </w:rPr>
            </w:pPr>
            <w:r w:rsidRPr="00FA4FE4">
              <w:rPr>
                <w:rFonts w:ascii="Times New Roman" w:hAnsi="Times New Roman"/>
                <w:sz w:val="16"/>
                <w:szCs w:val="16"/>
              </w:rPr>
              <w:t>Доля детей в возрасте от 5 до 18 лет, охваченных дополнительным образованием</w:t>
            </w:r>
          </w:p>
        </w:tc>
        <w:tc>
          <w:tcPr>
            <w:tcW w:w="1417"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Показатель к соглашению с ФОИВ по ФП «Успех каждого ребенка»</w:t>
            </w:r>
          </w:p>
        </w:tc>
        <w:tc>
          <w:tcPr>
            <w:tcW w:w="851" w:type="dxa"/>
          </w:tcPr>
          <w:p w:rsidR="000A1B8C" w:rsidRPr="00FA4FE4" w:rsidRDefault="000A1B8C" w:rsidP="00777D20">
            <w:pPr>
              <w:pStyle w:val="ConsPlusNormal"/>
              <w:rPr>
                <w:rFonts w:ascii="Times New Roman" w:hAnsi="Times New Roman"/>
                <w:sz w:val="16"/>
                <w:szCs w:val="16"/>
              </w:rPr>
            </w:pPr>
            <w:r w:rsidRPr="00FA4FE4">
              <w:rPr>
                <w:rFonts w:ascii="Times New Roman" w:hAnsi="Times New Roman"/>
                <w:sz w:val="16"/>
                <w:szCs w:val="16"/>
              </w:rPr>
              <w:t>процент</w:t>
            </w:r>
          </w:p>
        </w:tc>
        <w:tc>
          <w:tcPr>
            <w:tcW w:w="1276"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83,2</w:t>
            </w:r>
          </w:p>
        </w:tc>
        <w:tc>
          <w:tcPr>
            <w:tcW w:w="992" w:type="dxa"/>
          </w:tcPr>
          <w:p w:rsidR="000A1B8C" w:rsidRPr="00FA4FE4" w:rsidRDefault="000A1B8C" w:rsidP="00777D20">
            <w:pPr>
              <w:pStyle w:val="ConsPlusNormal"/>
              <w:jc w:val="center"/>
              <w:rPr>
                <w:rFonts w:ascii="Times New Roman" w:hAnsi="Times New Roman"/>
                <w:sz w:val="16"/>
                <w:szCs w:val="16"/>
              </w:rPr>
            </w:pPr>
            <w:r w:rsidRPr="00FA4FE4">
              <w:rPr>
                <w:rFonts w:ascii="Times New Roman" w:hAnsi="Times New Roman"/>
                <w:sz w:val="16"/>
                <w:szCs w:val="16"/>
              </w:rPr>
              <w:t>83,32</w:t>
            </w:r>
          </w:p>
        </w:tc>
      </w:tr>
    </w:tbl>
    <w:p w:rsidR="000A1B8C" w:rsidRPr="000A1B8C" w:rsidRDefault="000A1B8C" w:rsidP="000A1B8C">
      <w:pPr>
        <w:spacing w:line="240" w:lineRule="auto"/>
        <w:ind w:left="709" w:firstLine="0"/>
        <w:rPr>
          <w:sz w:val="24"/>
          <w:szCs w:val="24"/>
        </w:rPr>
      </w:pPr>
    </w:p>
    <w:p w:rsidR="000A1B8C" w:rsidRPr="000A1B8C" w:rsidRDefault="000A1B8C" w:rsidP="0024038E">
      <w:pPr>
        <w:spacing w:line="240" w:lineRule="auto"/>
        <w:rPr>
          <w:sz w:val="24"/>
          <w:szCs w:val="24"/>
        </w:rPr>
      </w:pPr>
      <w:r w:rsidRPr="000A1B8C">
        <w:rPr>
          <w:sz w:val="24"/>
          <w:szCs w:val="24"/>
        </w:rPr>
        <w:t xml:space="preserve">Оценка выполнения муниципальной программы (подпрограмм) городского округа Лотошино производится в целом  по всем учреждениям дополнительного образования : МУДО «ДЮСШ», </w:t>
      </w:r>
      <w:r w:rsidRPr="000A1B8C">
        <w:rPr>
          <w:color w:val="7030A0"/>
          <w:sz w:val="24"/>
          <w:szCs w:val="24"/>
        </w:rPr>
        <w:t xml:space="preserve">МУДО «ДШИ», </w:t>
      </w:r>
      <w:r w:rsidRPr="000A1B8C">
        <w:rPr>
          <w:sz w:val="24"/>
          <w:szCs w:val="24"/>
        </w:rPr>
        <w:t>МУДО «ДДТ». В муниципальной программе отсутствуют целевые показатели, отдельно  характеризующие работу  МУ «ДЮСШ». Дополнительно  целевые показатели деятельности МУ «ДЮСШ» Отделом по образованию  не разрабатывались, не  утверждались и до Учреждения не доводились.</w:t>
      </w:r>
    </w:p>
    <w:p w:rsidR="000A1B8C" w:rsidRPr="000A1B8C" w:rsidRDefault="000A1B8C" w:rsidP="0024038E">
      <w:pPr>
        <w:spacing w:line="240" w:lineRule="auto"/>
        <w:rPr>
          <w:sz w:val="24"/>
          <w:szCs w:val="24"/>
        </w:rPr>
      </w:pPr>
    </w:p>
    <w:p w:rsidR="000A1B8C" w:rsidRPr="000A1B8C" w:rsidRDefault="000A1B8C" w:rsidP="0024038E">
      <w:pPr>
        <w:spacing w:line="240" w:lineRule="auto"/>
        <w:rPr>
          <w:sz w:val="24"/>
          <w:szCs w:val="24"/>
        </w:rPr>
      </w:pPr>
      <w:r w:rsidRPr="000A1B8C">
        <w:rPr>
          <w:sz w:val="24"/>
          <w:szCs w:val="24"/>
        </w:rPr>
        <w:t>Оценка деятельности МУДО «ДЮСШ» осуществляется с учетом реализации планируемых результатов, соответствующих пунктам 3.1 и 3.6 представленной таблицы.</w:t>
      </w:r>
    </w:p>
    <w:p w:rsidR="000A1B8C" w:rsidRPr="000A1B8C" w:rsidRDefault="000A1B8C" w:rsidP="0024038E">
      <w:pPr>
        <w:spacing w:line="240" w:lineRule="auto"/>
        <w:rPr>
          <w:sz w:val="24"/>
          <w:szCs w:val="24"/>
        </w:rPr>
      </w:pPr>
      <w:r w:rsidRPr="000A1B8C">
        <w:rPr>
          <w:sz w:val="24"/>
          <w:szCs w:val="24"/>
        </w:rPr>
        <w:t>Эффективность использования бюджетных средств можно определить по степени достижения планируемых результатов. В 2021 году планируемые результаты достигнуты следующим образом:</w:t>
      </w:r>
    </w:p>
    <w:p w:rsidR="000A1B8C" w:rsidRPr="000A1B8C" w:rsidRDefault="000A1B8C" w:rsidP="0024038E">
      <w:pPr>
        <w:spacing w:line="240" w:lineRule="auto"/>
        <w:rPr>
          <w:i/>
          <w:sz w:val="24"/>
          <w:szCs w:val="24"/>
        </w:rPr>
      </w:pPr>
      <w:r w:rsidRPr="000A1B8C">
        <w:rPr>
          <w:i/>
          <w:sz w:val="24"/>
          <w:szCs w:val="24"/>
        </w:rPr>
        <w:t>1. Показатель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p w:rsidR="000A1B8C" w:rsidRPr="000A1B8C" w:rsidRDefault="000A1B8C" w:rsidP="0024038E">
      <w:pPr>
        <w:spacing w:line="240" w:lineRule="auto"/>
        <w:rPr>
          <w:sz w:val="24"/>
          <w:szCs w:val="24"/>
        </w:rPr>
      </w:pPr>
      <w:r w:rsidRPr="000A1B8C">
        <w:rPr>
          <w:sz w:val="24"/>
          <w:szCs w:val="24"/>
        </w:rPr>
        <w:t>Указом Президента Российской Федерации от 01.06.2012 года №761 «О национальной стратегии действий в интересах детей на 2012-2017 года» с учетом Указа Президента РФ от 29.05.2017 года N 240 "Об объявлении в Российской Федерации Десятилетия детства" установлены размеры среднемесячной номинальной начисленной заработной платы педагогов. В 2021 году в Московской области среднемесячная номинальная начисленная заработная плата учителей установлена 61 237,7 рублей.</w:t>
      </w:r>
    </w:p>
    <w:p w:rsidR="000A1B8C" w:rsidRPr="000A1B8C" w:rsidRDefault="000A1B8C" w:rsidP="0024038E">
      <w:pPr>
        <w:spacing w:line="240" w:lineRule="auto"/>
        <w:rPr>
          <w:sz w:val="24"/>
          <w:szCs w:val="24"/>
        </w:rPr>
      </w:pPr>
      <w:r w:rsidRPr="000A1B8C">
        <w:rPr>
          <w:sz w:val="24"/>
          <w:szCs w:val="24"/>
        </w:rPr>
        <w:t>Показатель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целом по городскому округу Лотошино составил в 2021 году 99,71%, что ниже установленного базового значения, утвержденного муниципальной программой «Образование».</w:t>
      </w:r>
    </w:p>
    <w:p w:rsidR="000A1B8C" w:rsidRPr="000A1B8C" w:rsidRDefault="000A1B8C" w:rsidP="0024038E">
      <w:pPr>
        <w:spacing w:line="240" w:lineRule="auto"/>
        <w:rPr>
          <w:sz w:val="24"/>
          <w:szCs w:val="24"/>
        </w:rPr>
      </w:pPr>
      <w:r w:rsidRPr="000A1B8C">
        <w:rPr>
          <w:sz w:val="24"/>
          <w:szCs w:val="24"/>
        </w:rPr>
        <w:t xml:space="preserve"> Среднемесячная номинальная начисленная заработная плата педагогов дополнительного образования  городского округа Лотошино в 2021 году составила 61 061,36 рублей.</w:t>
      </w:r>
    </w:p>
    <w:p w:rsidR="000A1B8C" w:rsidRPr="000A1B8C" w:rsidRDefault="000A1B8C" w:rsidP="0024038E">
      <w:pPr>
        <w:spacing w:line="240" w:lineRule="auto"/>
        <w:rPr>
          <w:b/>
          <w:i/>
          <w:sz w:val="24"/>
          <w:szCs w:val="24"/>
        </w:rPr>
      </w:pPr>
      <w:r w:rsidRPr="000A1B8C">
        <w:rPr>
          <w:b/>
          <w:i/>
          <w:sz w:val="24"/>
          <w:szCs w:val="24"/>
        </w:rPr>
        <w:t xml:space="preserve">Среднемесячная номинальная начисленная заработная плата педагогов МУДО «ДЮСШ» в 2021 году составила 55 044,6 рублей (Форма №ЗП-образование за январь-декабрь 2021 года), что ниже значений, установленных Указами Президента Российской Федерации. </w:t>
      </w:r>
    </w:p>
    <w:p w:rsidR="000A1B8C" w:rsidRPr="000A1B8C" w:rsidRDefault="000A1B8C" w:rsidP="0024038E">
      <w:pPr>
        <w:spacing w:line="240" w:lineRule="auto"/>
        <w:rPr>
          <w:b/>
          <w:i/>
          <w:sz w:val="24"/>
          <w:szCs w:val="24"/>
        </w:rPr>
      </w:pPr>
      <w:r w:rsidRPr="000A1B8C">
        <w:rPr>
          <w:b/>
          <w:i/>
          <w:sz w:val="24"/>
          <w:szCs w:val="24"/>
        </w:rPr>
        <w:t>Показатель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относительно деятельности МУДО «ДЮСШ» в 2021 году соответственно составляет 89,9%, что ниже установленного базового значения, утвержденного Муниципальной программой «Образование».</w:t>
      </w:r>
    </w:p>
    <w:p w:rsidR="000A1B8C" w:rsidRPr="000A1B8C" w:rsidRDefault="000A1B8C" w:rsidP="0024038E">
      <w:pPr>
        <w:spacing w:line="240" w:lineRule="auto"/>
        <w:rPr>
          <w:color w:val="FF0000"/>
          <w:sz w:val="24"/>
          <w:szCs w:val="24"/>
        </w:rPr>
      </w:pPr>
    </w:p>
    <w:p w:rsidR="000A1B8C" w:rsidRPr="000A1B8C" w:rsidRDefault="000A1B8C" w:rsidP="0024038E">
      <w:pPr>
        <w:spacing w:line="240" w:lineRule="auto"/>
        <w:rPr>
          <w:sz w:val="24"/>
          <w:szCs w:val="24"/>
        </w:rPr>
      </w:pPr>
      <w:r w:rsidRPr="000A1B8C">
        <w:rPr>
          <w:i/>
          <w:sz w:val="24"/>
          <w:szCs w:val="24"/>
        </w:rPr>
        <w:t>2. Показатель «Доля детей в возрасте от 5 до 18 лет, охваченных дополнительным образованием»</w:t>
      </w:r>
      <w:r w:rsidRPr="000A1B8C">
        <w:rPr>
          <w:sz w:val="24"/>
          <w:szCs w:val="24"/>
        </w:rPr>
        <w:t xml:space="preserve">. </w:t>
      </w:r>
    </w:p>
    <w:p w:rsidR="000A1B8C" w:rsidRPr="000A1B8C" w:rsidRDefault="000A1B8C" w:rsidP="0024038E">
      <w:pPr>
        <w:spacing w:line="240" w:lineRule="auto"/>
        <w:rPr>
          <w:szCs w:val="28"/>
        </w:rPr>
      </w:pPr>
      <w:r w:rsidRPr="000A1B8C">
        <w:rPr>
          <w:sz w:val="24"/>
          <w:szCs w:val="24"/>
        </w:rPr>
        <w:t>Указанный показатель рассчитывается от общего количества детей в возрасте от 5 до 18 лет, проживающих в муниципальном образовании. В целом по городскому округу Лотошино согласно статистических данных на 31.12.2021 года численность детского населения от 5 до 18 лет на 01.01.2020 года составила 2194 ребенка. Количество детей, охваченных дополнительным образованием составило 1914 человек, или 87,2% от общего числа детей от 5 до 18 лет проживающих на территории городского округа Лотошино, что соответствует базовому значению показателя, утвержденного Муниципальной программой «Образование».</w:t>
      </w:r>
    </w:p>
    <w:p w:rsidR="000A1B8C" w:rsidRPr="000A1B8C" w:rsidRDefault="000A1B8C" w:rsidP="0024038E">
      <w:pPr>
        <w:spacing w:line="240" w:lineRule="auto"/>
        <w:rPr>
          <w:sz w:val="24"/>
          <w:szCs w:val="24"/>
        </w:rPr>
      </w:pPr>
      <w:r w:rsidRPr="000A1B8C">
        <w:rPr>
          <w:sz w:val="24"/>
          <w:szCs w:val="24"/>
        </w:rPr>
        <w:lastRenderedPageBreak/>
        <w:t>Численность, занимающихся в Учреждении в 2021 году составила 340 человек. В том числе возрастной состав занимающихся по состоянию на 01.01.2022 года состоит из детей 5-9 лет -180 человек, 10-14 лет-128 человек, 15-17 лет 32 человека.</w:t>
      </w:r>
    </w:p>
    <w:p w:rsidR="000A1B8C" w:rsidRPr="000A1B8C" w:rsidRDefault="000A1B8C" w:rsidP="0024038E">
      <w:pPr>
        <w:spacing w:line="240" w:lineRule="auto"/>
        <w:rPr>
          <w:color w:val="FF0000"/>
          <w:szCs w:val="28"/>
        </w:rPr>
      </w:pPr>
    </w:p>
    <w:p w:rsidR="000A1B8C" w:rsidRPr="000A1B8C" w:rsidRDefault="000A1B8C" w:rsidP="0024038E">
      <w:pPr>
        <w:widowControl w:val="0"/>
        <w:autoSpaceDE w:val="0"/>
        <w:autoSpaceDN w:val="0"/>
        <w:adjustRightInd w:val="0"/>
        <w:spacing w:line="240" w:lineRule="auto"/>
        <w:rPr>
          <w:sz w:val="24"/>
          <w:szCs w:val="24"/>
        </w:rPr>
      </w:pPr>
      <w:r w:rsidRPr="000A1B8C">
        <w:rPr>
          <w:sz w:val="24"/>
          <w:szCs w:val="24"/>
        </w:rPr>
        <w:t xml:space="preserve">Финансово-экономическим управлением администрации городского округа Лотошино проводится ежегодная оценка результатов реализации муниципальных программ в соответствии с Порядком разработки и реализации муниципальных программ городского округа Лотошино, утвержденного постановлением Главы городского округа Лотошино от 11.10.2019 года №933 (в редакции от 08.06.2021 года № 518). Срок проведения оценки реализации муниципальной программы: ежегодно, не позднее 1 мая года, следующего за отчетным, на основании годового отчета о реализации муниципальной программы, представляемого муниципальным заказчиком программы. </w:t>
      </w:r>
    </w:p>
    <w:p w:rsidR="000A1B8C" w:rsidRPr="000A1B8C" w:rsidRDefault="000A1B8C" w:rsidP="0024038E">
      <w:pPr>
        <w:widowControl w:val="0"/>
        <w:autoSpaceDE w:val="0"/>
        <w:autoSpaceDN w:val="0"/>
        <w:adjustRightInd w:val="0"/>
        <w:spacing w:line="240" w:lineRule="auto"/>
        <w:rPr>
          <w:sz w:val="24"/>
          <w:szCs w:val="24"/>
        </w:rPr>
      </w:pPr>
      <w:r w:rsidRPr="000A1B8C">
        <w:rPr>
          <w:sz w:val="24"/>
          <w:szCs w:val="24"/>
        </w:rPr>
        <w:t>На момент проведения контрольного мероприятия оценка реализации муниципальной программы за 2021 год не проведена.</w:t>
      </w:r>
    </w:p>
    <w:p w:rsidR="0024038E" w:rsidRPr="0024038E" w:rsidRDefault="0024038E" w:rsidP="0024038E">
      <w:pPr>
        <w:pStyle w:val="a8"/>
        <w:numPr>
          <w:ilvl w:val="0"/>
          <w:numId w:val="12"/>
        </w:numPr>
        <w:spacing w:after="0" w:line="240" w:lineRule="auto"/>
        <w:ind w:left="0" w:firstLine="709"/>
        <w:jc w:val="both"/>
        <w:rPr>
          <w:rFonts w:ascii="Times New Roman" w:hAnsi="Times New Roman" w:cs="Times New Roman"/>
          <w:sz w:val="24"/>
          <w:szCs w:val="24"/>
        </w:rPr>
      </w:pPr>
      <w:r w:rsidRPr="0024038E">
        <w:rPr>
          <w:rFonts w:ascii="Times New Roman" w:hAnsi="Times New Roman" w:cs="Times New Roman"/>
          <w:i/>
          <w:sz w:val="24"/>
          <w:szCs w:val="24"/>
        </w:rPr>
        <w:t>По вопросу:</w:t>
      </w:r>
      <w:r w:rsidRPr="0024038E">
        <w:rPr>
          <w:rFonts w:ascii="Times New Roman" w:hAnsi="Times New Roman" w:cs="Times New Roman"/>
          <w:sz w:val="24"/>
          <w:szCs w:val="24"/>
        </w:rPr>
        <w:t xml:space="preserve"> Проверка законности, результативности и целевого использования муниципального имущества.</w:t>
      </w:r>
    </w:p>
    <w:p w:rsidR="0024038E" w:rsidRPr="0024038E" w:rsidRDefault="0024038E" w:rsidP="0024038E">
      <w:pPr>
        <w:spacing w:line="240" w:lineRule="auto"/>
        <w:rPr>
          <w:sz w:val="24"/>
          <w:szCs w:val="24"/>
        </w:rPr>
      </w:pPr>
      <w:r w:rsidRPr="0024038E">
        <w:rPr>
          <w:sz w:val="24"/>
          <w:szCs w:val="24"/>
        </w:rPr>
        <w:t>На основании договора безвозмездного пользования имуществом от 09.07.2019 года МУ «ДЮШС» в безвозмездное пользование на неопределенный срок  переданы следующие объекты недвижимости:</w:t>
      </w:r>
    </w:p>
    <w:p w:rsidR="0024038E" w:rsidRPr="0024038E" w:rsidRDefault="0024038E" w:rsidP="0024038E">
      <w:pPr>
        <w:pStyle w:val="a8"/>
        <w:numPr>
          <w:ilvl w:val="0"/>
          <w:numId w:val="16"/>
        </w:numPr>
        <w:spacing w:after="0" w:line="240" w:lineRule="auto"/>
        <w:ind w:left="0" w:firstLine="709"/>
        <w:jc w:val="both"/>
        <w:rPr>
          <w:rFonts w:ascii="Times New Roman" w:hAnsi="Times New Roman" w:cs="Times New Roman"/>
          <w:sz w:val="24"/>
          <w:szCs w:val="24"/>
        </w:rPr>
      </w:pPr>
      <w:r w:rsidRPr="0024038E">
        <w:rPr>
          <w:rFonts w:ascii="Times New Roman" w:hAnsi="Times New Roman" w:cs="Times New Roman"/>
          <w:sz w:val="24"/>
          <w:szCs w:val="24"/>
        </w:rPr>
        <w:t>нежилые помещения, находящиеся в здании культурно-спортивного центра «Лотошино», общей площадью 13084,1 кв.м. инв. №111:035-1419 по адресу: п.Лотошино, ул.Центральная, 22, в том числе:</w:t>
      </w:r>
    </w:p>
    <w:p w:rsidR="0024038E" w:rsidRPr="0024038E" w:rsidRDefault="0024038E" w:rsidP="0024038E">
      <w:pPr>
        <w:spacing w:line="240" w:lineRule="auto"/>
        <w:rPr>
          <w:sz w:val="24"/>
          <w:szCs w:val="24"/>
        </w:rPr>
      </w:pPr>
      <w:r w:rsidRPr="0024038E">
        <w:rPr>
          <w:sz w:val="24"/>
          <w:szCs w:val="24"/>
        </w:rPr>
        <w:t xml:space="preserve"> - нежилое помещение №24 общей площадью 22,6 кв. м., с учетом мест общего пользования – 33,5 кв.м. (время занятий 40 часов в неделю),</w:t>
      </w:r>
    </w:p>
    <w:p w:rsidR="0024038E" w:rsidRPr="0024038E" w:rsidRDefault="0024038E" w:rsidP="0024038E">
      <w:pPr>
        <w:spacing w:line="240" w:lineRule="auto"/>
        <w:rPr>
          <w:sz w:val="24"/>
          <w:szCs w:val="24"/>
        </w:rPr>
      </w:pPr>
      <w:r w:rsidRPr="0024038E">
        <w:rPr>
          <w:sz w:val="24"/>
          <w:szCs w:val="24"/>
        </w:rPr>
        <w:t>- нежилые помещения №32-35, 37-40, 49 общей площадью 1364,3 кв.м. (время занятий 36 часов в неделю),</w:t>
      </w:r>
    </w:p>
    <w:p w:rsidR="0024038E" w:rsidRPr="0024038E" w:rsidRDefault="0024038E" w:rsidP="0024038E">
      <w:pPr>
        <w:spacing w:line="240" w:lineRule="auto"/>
        <w:rPr>
          <w:sz w:val="24"/>
          <w:szCs w:val="24"/>
        </w:rPr>
      </w:pPr>
      <w:r w:rsidRPr="0024038E">
        <w:rPr>
          <w:sz w:val="24"/>
          <w:szCs w:val="24"/>
        </w:rPr>
        <w:t>-  нежилое помещение №214 общей площадью 82,9 кв. м. (время занятий 18 часов в неделю),</w:t>
      </w:r>
    </w:p>
    <w:p w:rsidR="0024038E" w:rsidRPr="0024038E" w:rsidRDefault="0024038E" w:rsidP="0024038E">
      <w:pPr>
        <w:spacing w:line="240" w:lineRule="auto"/>
        <w:rPr>
          <w:sz w:val="24"/>
          <w:szCs w:val="24"/>
        </w:rPr>
      </w:pPr>
      <w:r w:rsidRPr="0024038E">
        <w:rPr>
          <w:sz w:val="24"/>
          <w:szCs w:val="24"/>
        </w:rPr>
        <w:t>- нежилое помещение №127 общей площадью 134,7 кв. м. (время занятий 12 часов в неделю),</w:t>
      </w:r>
    </w:p>
    <w:p w:rsidR="0024038E" w:rsidRPr="0024038E" w:rsidRDefault="0024038E" w:rsidP="0024038E">
      <w:pPr>
        <w:spacing w:line="240" w:lineRule="auto"/>
        <w:rPr>
          <w:sz w:val="24"/>
          <w:szCs w:val="24"/>
        </w:rPr>
      </w:pPr>
      <w:r w:rsidRPr="0024038E">
        <w:rPr>
          <w:sz w:val="24"/>
          <w:szCs w:val="24"/>
        </w:rPr>
        <w:t>- нежилое помещение №155 общей площадью 902,5 кв. м. (время занятий 18 часов в неделю),</w:t>
      </w:r>
    </w:p>
    <w:p w:rsidR="0024038E" w:rsidRPr="0024038E" w:rsidRDefault="0024038E" w:rsidP="0024038E">
      <w:pPr>
        <w:spacing w:line="240" w:lineRule="auto"/>
        <w:rPr>
          <w:sz w:val="24"/>
          <w:szCs w:val="24"/>
        </w:rPr>
      </w:pPr>
      <w:r w:rsidRPr="0024038E">
        <w:rPr>
          <w:sz w:val="24"/>
          <w:szCs w:val="24"/>
        </w:rPr>
        <w:t>- нежилое помещение №177 общей площадью 343,6 кв. м. (время занятий 12 часов в неделю).</w:t>
      </w:r>
    </w:p>
    <w:p w:rsidR="0024038E" w:rsidRPr="0024038E" w:rsidRDefault="0024038E" w:rsidP="0024038E">
      <w:pPr>
        <w:pStyle w:val="af0"/>
        <w:shd w:val="clear" w:color="auto" w:fill="FFFFFF"/>
        <w:spacing w:before="0" w:beforeAutospacing="0" w:after="0" w:afterAutospacing="0"/>
        <w:ind w:firstLine="709"/>
        <w:jc w:val="both"/>
      </w:pPr>
      <w:r w:rsidRPr="0024038E">
        <w:t xml:space="preserve">В соответствии с пунктом 8 Федерального стандарта бухгалтерского учета для организаций государственного сектора "Аренда», утвержденного Приказом Минфина России от 31.12.2016 года  N 258н (ред. от 25.12.2019) объекты бухгалтерского учета, возникающие при передаче государственного (муниципального) имущества в безвозмездное пользование, квалифицируются для целей стандарта как объекты учета аренды. </w:t>
      </w:r>
    </w:p>
    <w:p w:rsidR="00996C37" w:rsidRPr="00996C37" w:rsidRDefault="00996C37" w:rsidP="0024038E">
      <w:pPr>
        <w:spacing w:line="240" w:lineRule="auto"/>
        <w:contextualSpacing/>
        <w:rPr>
          <w:sz w:val="24"/>
          <w:szCs w:val="24"/>
        </w:rPr>
      </w:pPr>
      <w:r w:rsidRPr="00996C37">
        <w:rPr>
          <w:sz w:val="24"/>
          <w:szCs w:val="24"/>
        </w:rPr>
        <w:t>В нарушение положений Федерального закона от 06.12.2011 года N 402-ФЗ "О бухгалтерском учете" (в редакции изменений), Федерального стандарта бухгалтерского учета для организаций государственного сектора "Аренда», федерального стандарта бухгалтерского учета для организаций государственного сектора "Концептуальные основы", Приказа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объект нефинансового актива  ( нежилое помещением №24), п</w:t>
      </w:r>
      <w:r w:rsidR="0097642A">
        <w:rPr>
          <w:sz w:val="24"/>
          <w:szCs w:val="24"/>
        </w:rPr>
        <w:t>е</w:t>
      </w:r>
      <w:r w:rsidRPr="00996C37">
        <w:rPr>
          <w:sz w:val="24"/>
          <w:szCs w:val="24"/>
        </w:rPr>
        <w:t xml:space="preserve">реданный Учреждению в </w:t>
      </w:r>
      <w:r w:rsidRPr="00996C37">
        <w:rPr>
          <w:sz w:val="24"/>
          <w:szCs w:val="24"/>
        </w:rPr>
        <w:lastRenderedPageBreak/>
        <w:t xml:space="preserve">безвозмездное пользованию по бессрочному договору, принят к бюджетному учету по заниженной первоначальной стоимости (92 646,26 рублей). Первоначальная стоимость объекта, исходя из требований законодательства, составляет 277 938,78 рублей. </w:t>
      </w:r>
    </w:p>
    <w:p w:rsidR="00996C37" w:rsidRPr="0024038E" w:rsidRDefault="00996C37" w:rsidP="0024038E">
      <w:pPr>
        <w:pStyle w:val="a8"/>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24038E">
        <w:rPr>
          <w:rFonts w:ascii="Times New Roman" w:eastAsiaTheme="minorHAnsi" w:hAnsi="Times New Roman" w:cs="Times New Roman"/>
          <w:sz w:val="24"/>
          <w:szCs w:val="24"/>
        </w:rPr>
        <w:t>В нарушение ПБУ «Учетная политика организации» (ПБУ 1/2008), утвержденного приказом Министерства финансов РФ от 06.10.2008 года №106н Учетной политикой МУДО «ДЮСШ» не утвержден Порядок оформления списания материальных ценностей, израсходованных при проведении массовых мероприятий.</w:t>
      </w:r>
      <w:r w:rsidRPr="0024038E">
        <w:rPr>
          <w:rFonts w:ascii="Times New Roman" w:hAnsi="Times New Roman" w:cs="Times New Roman"/>
          <w:sz w:val="24"/>
          <w:szCs w:val="24"/>
        </w:rPr>
        <w:t xml:space="preserve"> </w:t>
      </w:r>
    </w:p>
    <w:p w:rsidR="00996C37" w:rsidRPr="00996C37" w:rsidRDefault="00996C37" w:rsidP="0024038E">
      <w:pPr>
        <w:numPr>
          <w:ilvl w:val="0"/>
          <w:numId w:val="12"/>
        </w:numPr>
        <w:spacing w:line="240" w:lineRule="auto"/>
        <w:ind w:left="0" w:firstLine="709"/>
        <w:contextualSpacing/>
        <w:rPr>
          <w:sz w:val="24"/>
          <w:szCs w:val="24"/>
        </w:rPr>
      </w:pPr>
      <w:r w:rsidRPr="00996C37">
        <w:rPr>
          <w:sz w:val="24"/>
          <w:szCs w:val="24"/>
        </w:rPr>
        <w:t>В нарушение п. 5.4 Устава директором МУ «ДЮСШ» превышены полномочия по утверждению штатного расписания учреждения.  Данная функция относится к компетенции учредителя.</w:t>
      </w:r>
    </w:p>
    <w:p w:rsidR="00996C37" w:rsidRPr="00996C37" w:rsidRDefault="00996C37" w:rsidP="0024038E">
      <w:pPr>
        <w:numPr>
          <w:ilvl w:val="0"/>
          <w:numId w:val="12"/>
        </w:numPr>
        <w:spacing w:line="240" w:lineRule="auto"/>
        <w:ind w:left="0" w:firstLine="709"/>
        <w:contextualSpacing/>
        <w:rPr>
          <w:sz w:val="24"/>
          <w:szCs w:val="24"/>
        </w:rPr>
      </w:pPr>
      <w:r w:rsidRPr="00996C37">
        <w:rPr>
          <w:sz w:val="24"/>
          <w:szCs w:val="24"/>
        </w:rPr>
        <w:t>В нарушение пункта 5.4. Устава МУДО «ДЮСШ» трудовой договор руководителя содержит указание на право «утверждения в установленном порядке структуры и штатного расписания учреждения» (подпункт «е» пункта 8 трудового договора), относящееся к компетенции учредителя.</w:t>
      </w:r>
    </w:p>
    <w:p w:rsidR="00996C37" w:rsidRPr="00996C37" w:rsidRDefault="00996C37" w:rsidP="0024038E">
      <w:pPr>
        <w:numPr>
          <w:ilvl w:val="0"/>
          <w:numId w:val="12"/>
        </w:numPr>
        <w:spacing w:line="240" w:lineRule="auto"/>
        <w:ind w:left="0" w:firstLine="709"/>
        <w:contextualSpacing/>
        <w:rPr>
          <w:sz w:val="24"/>
          <w:szCs w:val="24"/>
        </w:rPr>
      </w:pPr>
      <w:r w:rsidRPr="00996C37">
        <w:rPr>
          <w:sz w:val="24"/>
          <w:szCs w:val="24"/>
        </w:rPr>
        <w:t>В нарушение статей 60.2, 151 Трудового кодекса Российской Федерации к трудовому договору руководителя №32 от 13.01.2020 года отсутствует приказ (распоряжение) работодателя о выполнении работником дополнительной работы, дополнительное соглашение сторон, в котором определен размер доплаты за выполнение работником дополнительной работы при совмещении должнос</w:t>
      </w:r>
      <w:r w:rsidR="0024038E">
        <w:rPr>
          <w:sz w:val="24"/>
          <w:szCs w:val="24"/>
        </w:rPr>
        <w:t>тей.</w:t>
      </w:r>
    </w:p>
    <w:p w:rsidR="00996C37" w:rsidRPr="00996C37" w:rsidRDefault="00996C37" w:rsidP="00996C37">
      <w:pPr>
        <w:spacing w:line="240" w:lineRule="auto"/>
        <w:rPr>
          <w:i/>
          <w:sz w:val="24"/>
          <w:szCs w:val="24"/>
        </w:rPr>
      </w:pPr>
    </w:p>
    <w:p w:rsidR="00996C37" w:rsidRPr="00996C37" w:rsidRDefault="00996C37" w:rsidP="00996C37">
      <w:pPr>
        <w:spacing w:line="240" w:lineRule="auto"/>
        <w:rPr>
          <w:b/>
          <w:sz w:val="24"/>
          <w:szCs w:val="24"/>
        </w:rPr>
      </w:pPr>
      <w:r w:rsidRPr="00996C37">
        <w:rPr>
          <w:b/>
          <w:sz w:val="24"/>
          <w:szCs w:val="24"/>
        </w:rPr>
        <w:t>По цели 2.</w:t>
      </w:r>
      <w:r w:rsidRPr="00996C37">
        <w:rPr>
          <w:szCs w:val="28"/>
        </w:rPr>
        <w:t xml:space="preserve"> </w:t>
      </w:r>
      <w:r w:rsidRPr="00996C37">
        <w:rPr>
          <w:b/>
          <w:sz w:val="24"/>
          <w:szCs w:val="24"/>
        </w:rPr>
        <w:t xml:space="preserve">Анализ организации деятельности Учреждения при реализация образовательного процесса. </w:t>
      </w:r>
    </w:p>
    <w:p w:rsidR="00F53D57" w:rsidRPr="00F53D57" w:rsidRDefault="00996C37" w:rsidP="00F53D57">
      <w:pPr>
        <w:spacing w:line="240" w:lineRule="auto"/>
        <w:rPr>
          <w:sz w:val="24"/>
          <w:szCs w:val="24"/>
        </w:rPr>
      </w:pPr>
      <w:r w:rsidRPr="00996C37">
        <w:rPr>
          <w:sz w:val="24"/>
          <w:szCs w:val="24"/>
        </w:rPr>
        <w:t xml:space="preserve">Деятельность МУДО «ДЮСШ» основана на положениях  Федерального </w:t>
      </w:r>
      <w:hyperlink r:id="rId9" w:history="1">
        <w:r w:rsidRPr="00996C37">
          <w:rPr>
            <w:sz w:val="24"/>
            <w:szCs w:val="24"/>
          </w:rPr>
          <w:t>закон</w:t>
        </w:r>
      </w:hyperlink>
      <w:r w:rsidRPr="00996C37">
        <w:rPr>
          <w:sz w:val="24"/>
          <w:szCs w:val="24"/>
        </w:rPr>
        <w:t>а от 04.12.</w:t>
      </w:r>
      <w:r w:rsidR="00F53D57" w:rsidRPr="00F53D57">
        <w:rPr>
          <w:sz w:val="24"/>
          <w:szCs w:val="24"/>
        </w:rPr>
        <w:t xml:space="preserve"> Деятельность ДЮСШ осуществляется на основании Устава в соответствии с действующим Законодательством РФ и Типового положения об образовательных учреждениях дополнительного образования детей. Учебный год в ДЮСШ начинается, как правило, 1 сентября. ДЮСШ организует работу с обучающимися в течение календарного года. Учебно-тренировочные занятия проводятся в течение десяти учебных месяцев. Режим работы определяется внутри-школьным трудовым распорядком и расписанием учебно-тренировочных занятий.</w:t>
      </w:r>
    </w:p>
    <w:p w:rsidR="00F53D57" w:rsidRPr="00F53D57" w:rsidRDefault="00F53D57" w:rsidP="00F53D57">
      <w:pPr>
        <w:spacing w:line="240" w:lineRule="auto"/>
        <w:rPr>
          <w:b/>
          <w:color w:val="FF0000"/>
          <w:sz w:val="24"/>
          <w:szCs w:val="24"/>
        </w:rPr>
      </w:pPr>
      <w:r w:rsidRPr="00F53D57">
        <w:rPr>
          <w:sz w:val="24"/>
          <w:szCs w:val="24"/>
        </w:rPr>
        <w:t xml:space="preserve">  Перевод обучающихся по годам обучения на всех этапах подготовки осуществляется при условии положительной динамики спортивных показателей и освоении программы соответствующего года, этапа подготовки и основан на выполнении контрольно-переводных нормативов в конце учебного года. </w:t>
      </w:r>
    </w:p>
    <w:p w:rsidR="00F53D57" w:rsidRPr="00F53D57" w:rsidRDefault="00F53D57" w:rsidP="00F53D57">
      <w:pPr>
        <w:spacing w:line="240" w:lineRule="auto"/>
        <w:rPr>
          <w:sz w:val="24"/>
          <w:szCs w:val="24"/>
        </w:rPr>
      </w:pPr>
      <w:r w:rsidRPr="00F53D57">
        <w:rPr>
          <w:sz w:val="24"/>
          <w:szCs w:val="24"/>
        </w:rPr>
        <w:t>В связи с недостаточностью собственной базы, МУДО «ДЮСШ» заключены договора с образовательными учреждения городского округа Лотошино для  организации и проведения занятий  с детьми с учетом  их территориального проживания.</w:t>
      </w:r>
    </w:p>
    <w:p w:rsidR="00F53D57" w:rsidRPr="00F53D57" w:rsidRDefault="00F53D57" w:rsidP="00F53D57">
      <w:pPr>
        <w:spacing w:line="240" w:lineRule="auto"/>
        <w:rPr>
          <w:sz w:val="24"/>
          <w:szCs w:val="24"/>
        </w:rPr>
      </w:pPr>
      <w:r w:rsidRPr="00F53D57">
        <w:rPr>
          <w:sz w:val="24"/>
          <w:szCs w:val="24"/>
        </w:rPr>
        <w:t xml:space="preserve"> В проверяемом периоде заключены следующие договора об организации объединения обучающихся (воспитанников) со следующими образовательными учреждениями округа:</w:t>
      </w:r>
    </w:p>
    <w:p w:rsidR="00F53D57" w:rsidRPr="00F53D57" w:rsidRDefault="00F53D57" w:rsidP="00F53D57">
      <w:pPr>
        <w:spacing w:line="240" w:lineRule="auto"/>
        <w:rPr>
          <w:sz w:val="24"/>
          <w:szCs w:val="24"/>
        </w:rPr>
      </w:pPr>
      <w:r w:rsidRPr="00F53D57">
        <w:rPr>
          <w:sz w:val="24"/>
          <w:szCs w:val="24"/>
        </w:rPr>
        <w:t>1. Ушаковская средней общеобразовательной школой,</w:t>
      </w:r>
    </w:p>
    <w:p w:rsidR="00F53D57" w:rsidRPr="00F53D57" w:rsidRDefault="00F53D57" w:rsidP="00F53D57">
      <w:pPr>
        <w:spacing w:line="240" w:lineRule="auto"/>
        <w:rPr>
          <w:sz w:val="24"/>
          <w:szCs w:val="24"/>
        </w:rPr>
      </w:pPr>
      <w:r w:rsidRPr="00F53D57">
        <w:rPr>
          <w:sz w:val="24"/>
          <w:szCs w:val="24"/>
        </w:rPr>
        <w:t xml:space="preserve">2. МАДОУ «ЦРР детский сад №15  «Мечта», </w:t>
      </w:r>
    </w:p>
    <w:p w:rsidR="00F53D57" w:rsidRPr="00F53D57" w:rsidRDefault="00F53D57" w:rsidP="00F53D57">
      <w:pPr>
        <w:shd w:val="clear" w:color="auto" w:fill="FFFFFF"/>
        <w:spacing w:line="240" w:lineRule="auto"/>
        <w:jc w:val="left"/>
        <w:rPr>
          <w:sz w:val="24"/>
          <w:szCs w:val="24"/>
        </w:rPr>
      </w:pPr>
      <w:r w:rsidRPr="00F53D57">
        <w:rPr>
          <w:sz w:val="24"/>
          <w:szCs w:val="24"/>
        </w:rPr>
        <w:t>3. МДОУ Детский сад общеразвивающего вида №1 «Родничок»</w:t>
      </w:r>
    </w:p>
    <w:p w:rsidR="00F53D57" w:rsidRPr="00F53D57" w:rsidRDefault="00F53D57" w:rsidP="00F53D57">
      <w:pPr>
        <w:spacing w:line="240" w:lineRule="auto"/>
        <w:rPr>
          <w:sz w:val="24"/>
          <w:szCs w:val="24"/>
        </w:rPr>
      </w:pPr>
      <w:r w:rsidRPr="00F53D57">
        <w:rPr>
          <w:sz w:val="24"/>
          <w:szCs w:val="24"/>
        </w:rPr>
        <w:t>4. Лотошинской средней общеобразовательной школой №2,</w:t>
      </w:r>
    </w:p>
    <w:p w:rsidR="00F53D57" w:rsidRPr="00F53D57" w:rsidRDefault="00F53D57" w:rsidP="00F53D57">
      <w:pPr>
        <w:spacing w:line="240" w:lineRule="auto"/>
        <w:rPr>
          <w:sz w:val="24"/>
          <w:szCs w:val="24"/>
        </w:rPr>
      </w:pPr>
      <w:r w:rsidRPr="00F53D57">
        <w:rPr>
          <w:sz w:val="24"/>
          <w:szCs w:val="24"/>
        </w:rPr>
        <w:t>5. Савостинской средней общеобразовательной школой.</w:t>
      </w:r>
    </w:p>
    <w:p w:rsidR="00F53D57" w:rsidRPr="00F53D57" w:rsidRDefault="00F53D57" w:rsidP="00F53D57">
      <w:pPr>
        <w:spacing w:line="240" w:lineRule="auto"/>
        <w:rPr>
          <w:color w:val="FF0000"/>
          <w:sz w:val="24"/>
          <w:szCs w:val="24"/>
        </w:rPr>
      </w:pPr>
    </w:p>
    <w:p w:rsidR="00F53D57" w:rsidRPr="00F53D57" w:rsidRDefault="00F53D57" w:rsidP="00F53D57">
      <w:pPr>
        <w:spacing w:line="240" w:lineRule="auto"/>
        <w:rPr>
          <w:sz w:val="24"/>
          <w:szCs w:val="24"/>
        </w:rPr>
      </w:pPr>
      <w:r w:rsidRPr="00F53D57">
        <w:rPr>
          <w:sz w:val="24"/>
          <w:szCs w:val="24"/>
        </w:rPr>
        <w:t>Планирование работы в ДЮСШ осуществляется посредством разработки и систематического ведения следующих основных документов:</w:t>
      </w:r>
    </w:p>
    <w:p w:rsidR="00F53D57" w:rsidRPr="00F53D57" w:rsidRDefault="00F53D57" w:rsidP="00F53D57">
      <w:pPr>
        <w:spacing w:line="240" w:lineRule="auto"/>
        <w:rPr>
          <w:sz w:val="24"/>
          <w:szCs w:val="24"/>
        </w:rPr>
      </w:pPr>
      <w:r w:rsidRPr="00F53D57">
        <w:rPr>
          <w:sz w:val="24"/>
          <w:szCs w:val="24"/>
        </w:rPr>
        <w:t xml:space="preserve"> 1. Годового плана учебно-тренировочной, воспитательной и организационно-хозяйственной работы спортивной школы;</w:t>
      </w:r>
    </w:p>
    <w:p w:rsidR="00F53D57" w:rsidRPr="00F53D57" w:rsidRDefault="00F53D57" w:rsidP="00F53D57">
      <w:pPr>
        <w:spacing w:line="240" w:lineRule="auto"/>
        <w:rPr>
          <w:color w:val="FF0000"/>
          <w:sz w:val="24"/>
          <w:szCs w:val="24"/>
        </w:rPr>
      </w:pPr>
      <w:r w:rsidRPr="00F53D57">
        <w:rPr>
          <w:sz w:val="24"/>
          <w:szCs w:val="24"/>
        </w:rPr>
        <w:lastRenderedPageBreak/>
        <w:t xml:space="preserve"> 2. Годовых планов работы с группами, расписания занятий.</w:t>
      </w:r>
    </w:p>
    <w:p w:rsidR="00F53D57" w:rsidRPr="00F53D57" w:rsidRDefault="00F53D57" w:rsidP="00F53D57">
      <w:pPr>
        <w:spacing w:line="240" w:lineRule="auto"/>
        <w:rPr>
          <w:sz w:val="24"/>
          <w:szCs w:val="24"/>
        </w:rPr>
      </w:pPr>
      <w:r w:rsidRPr="00F53D57">
        <w:rPr>
          <w:sz w:val="24"/>
          <w:szCs w:val="24"/>
        </w:rPr>
        <w:t>Согласно Устава Учреждение осуществляет образовательный процесс в соответствии с образовательными программами, разработанными и утвержденными Учреждением самостоятельно.</w:t>
      </w:r>
    </w:p>
    <w:p w:rsidR="00F53D57" w:rsidRPr="00F53D57" w:rsidRDefault="00F53D57" w:rsidP="00F53D57">
      <w:pPr>
        <w:spacing w:line="240" w:lineRule="auto"/>
        <w:rPr>
          <w:sz w:val="24"/>
          <w:szCs w:val="24"/>
        </w:rPr>
      </w:pPr>
      <w:r w:rsidRPr="00F53D57">
        <w:rPr>
          <w:sz w:val="24"/>
          <w:szCs w:val="24"/>
        </w:rPr>
        <w:t xml:space="preserve">Образовательные программы реализуются в области физической культуры и спорта по следующим видам спорта: волейбол, бадминтон, плавание, футбол базовый уровень, шахматы, бокс базовый уровень. </w:t>
      </w:r>
    </w:p>
    <w:p w:rsidR="00F53D57" w:rsidRPr="00F53D57" w:rsidRDefault="00F53D57" w:rsidP="00F53D57">
      <w:pPr>
        <w:spacing w:line="240" w:lineRule="auto"/>
        <w:rPr>
          <w:sz w:val="24"/>
          <w:szCs w:val="24"/>
        </w:rPr>
      </w:pPr>
      <w:r w:rsidRPr="00F53D57">
        <w:rPr>
          <w:sz w:val="24"/>
          <w:szCs w:val="24"/>
        </w:rPr>
        <w:t>В проверяемом периоде учебно-тренировочный процесс осуществлялся по плану 2020-2021 учебного года (с января по май 2021 года), 2021-2022 учебного года (с сентября 2021 года по настоящее время).</w:t>
      </w:r>
    </w:p>
    <w:p w:rsidR="00F53D57" w:rsidRPr="00F53D57" w:rsidRDefault="00F53D57" w:rsidP="00F53D57">
      <w:pPr>
        <w:spacing w:line="240" w:lineRule="auto"/>
        <w:rPr>
          <w:sz w:val="24"/>
          <w:szCs w:val="24"/>
        </w:rPr>
      </w:pPr>
      <w:r w:rsidRPr="00F53D57">
        <w:rPr>
          <w:sz w:val="24"/>
          <w:szCs w:val="24"/>
        </w:rPr>
        <w:t>По результатам обучения, в школе обучаются 337 спортсменов-учащихся, в том числе в группах начальной подготовки 228 человек, в учебно-тренировочных группах – 109 человек.</w:t>
      </w:r>
    </w:p>
    <w:p w:rsidR="00F53D57" w:rsidRPr="00F53D57" w:rsidRDefault="00F53D57" w:rsidP="00F53D57">
      <w:pPr>
        <w:spacing w:line="240" w:lineRule="auto"/>
        <w:ind w:left="60" w:firstLine="648"/>
        <w:rPr>
          <w:rFonts w:eastAsiaTheme="minorHAnsi"/>
          <w:sz w:val="24"/>
          <w:szCs w:val="24"/>
          <w:lang w:eastAsia="en-US"/>
        </w:rPr>
      </w:pPr>
      <w:r w:rsidRPr="00F53D57">
        <w:rPr>
          <w:sz w:val="24"/>
          <w:szCs w:val="24"/>
        </w:rPr>
        <w:t xml:space="preserve"> </w:t>
      </w:r>
      <w:r w:rsidRPr="00F53D57">
        <w:rPr>
          <w:rFonts w:eastAsiaTheme="minorHAnsi"/>
          <w:sz w:val="24"/>
          <w:szCs w:val="24"/>
          <w:lang w:eastAsia="en-US"/>
        </w:rPr>
        <w:t>Согласно расписания занятий  на момент проведения проверки в Учреждении  функционируют  19 спортивные группы, в том числе учебно-тренировочные  группы –  8 групп, группы начальной подготовки – 11 групп.</w:t>
      </w:r>
    </w:p>
    <w:p w:rsidR="00F53D57" w:rsidRPr="00F53D57" w:rsidRDefault="00F53D57" w:rsidP="00F53D57">
      <w:pPr>
        <w:spacing w:line="240" w:lineRule="auto"/>
        <w:ind w:left="60" w:firstLine="648"/>
        <w:rPr>
          <w:rFonts w:eastAsiaTheme="minorHAnsi"/>
          <w:sz w:val="24"/>
          <w:szCs w:val="24"/>
          <w:lang w:eastAsia="en-US"/>
        </w:rPr>
      </w:pPr>
      <w:r w:rsidRPr="00F53D57">
        <w:rPr>
          <w:rFonts w:eastAsiaTheme="minorHAnsi"/>
          <w:sz w:val="24"/>
          <w:szCs w:val="24"/>
          <w:lang w:eastAsia="en-US"/>
        </w:rPr>
        <w:t xml:space="preserve"> По состоянию на 22.03.2022 года во всех группах Учреждении числятся 340 детей (по данным ЕИС НОВИГАТОР).</w:t>
      </w:r>
    </w:p>
    <w:p w:rsidR="00F53D57" w:rsidRPr="00F53D57" w:rsidRDefault="00F53D57" w:rsidP="00F53D57">
      <w:pPr>
        <w:spacing w:line="240" w:lineRule="auto"/>
        <w:rPr>
          <w:sz w:val="24"/>
          <w:szCs w:val="24"/>
        </w:rPr>
      </w:pPr>
    </w:p>
    <w:p w:rsidR="00F53D57" w:rsidRPr="00F53D57" w:rsidRDefault="00F53D57" w:rsidP="00F53D57">
      <w:pPr>
        <w:spacing w:line="240" w:lineRule="auto"/>
        <w:rPr>
          <w:sz w:val="24"/>
          <w:szCs w:val="24"/>
        </w:rPr>
      </w:pPr>
      <w:r w:rsidRPr="00F53D57">
        <w:rPr>
          <w:sz w:val="24"/>
          <w:szCs w:val="24"/>
        </w:rPr>
        <w:t xml:space="preserve">В целях получения достоверной информации о наполняемости групп и фактическом посещении групп на разных этапах спортивной подготовки, отделом по образованию администрации городского округа Лотошино на постоянной основе осуществляется контроль за проведением тренировочных занятий.  Должностными лицами проверяется количество учащихся, фактически присутствующих на тренировках по видам спорта. Обследование проводится в соответствии с представленными расписаниями времени и места проведения занятий учебных тренировок в Учреждении. Результаты проведенных проверок оформлены справками (представлены на обозрение). </w:t>
      </w:r>
    </w:p>
    <w:p w:rsidR="00F53D57" w:rsidRPr="00F53D57" w:rsidRDefault="00F53D57" w:rsidP="00F53D57">
      <w:pPr>
        <w:spacing w:line="240" w:lineRule="auto"/>
        <w:rPr>
          <w:color w:val="FF0000"/>
          <w:sz w:val="24"/>
          <w:szCs w:val="24"/>
        </w:rPr>
      </w:pPr>
      <w:r w:rsidRPr="00F53D57">
        <w:rPr>
          <w:sz w:val="24"/>
          <w:szCs w:val="24"/>
        </w:rPr>
        <w:t>В проверяемом периоде в отношении МУДО «ДЮСШ» Министерством образования Московской области проведена выездная (плановая) проверка. Предметом проверки являлось исследование и анализ осуществления деятельности МУДО «ДЮСШ» (наличие нормативной и распорядительной базы, информационная открытость, осуществление тренировочного процесса, соответствие квалификационным требованиям преподавательского состава и т.д.). По результатам проверки составлен акт от 28.10.2021 года. Установленные на момент проверки контрольно-счетной палаты, нарушения устранены.</w:t>
      </w:r>
    </w:p>
    <w:p w:rsidR="00F53D57" w:rsidRPr="00F53D57" w:rsidRDefault="00F53D57" w:rsidP="00F53D57">
      <w:pPr>
        <w:widowControl w:val="0"/>
        <w:autoSpaceDE w:val="0"/>
        <w:autoSpaceDN w:val="0"/>
        <w:adjustRightInd w:val="0"/>
        <w:spacing w:line="240" w:lineRule="auto"/>
        <w:rPr>
          <w:rFonts w:eastAsiaTheme="minorHAnsi"/>
          <w:color w:val="FF0000"/>
          <w:sz w:val="24"/>
          <w:szCs w:val="24"/>
          <w:lang w:eastAsia="en-US"/>
        </w:rPr>
      </w:pPr>
    </w:p>
    <w:p w:rsidR="00996C37" w:rsidRPr="00996C37" w:rsidRDefault="00996C37" w:rsidP="00F53D57">
      <w:pPr>
        <w:spacing w:line="240" w:lineRule="auto"/>
        <w:rPr>
          <w:sz w:val="24"/>
          <w:szCs w:val="24"/>
        </w:rPr>
      </w:pPr>
    </w:p>
    <w:p w:rsidR="00996C37" w:rsidRPr="00996C37" w:rsidRDefault="00996C37" w:rsidP="00996C37">
      <w:pPr>
        <w:tabs>
          <w:tab w:val="left" w:pos="1418"/>
        </w:tabs>
        <w:spacing w:after="200" w:line="240" w:lineRule="auto"/>
        <w:rPr>
          <w:rFonts w:eastAsiaTheme="minorEastAsia"/>
          <w:b/>
          <w:sz w:val="24"/>
          <w:szCs w:val="24"/>
        </w:rPr>
      </w:pPr>
      <w:r w:rsidRPr="00996C37">
        <w:rPr>
          <w:rFonts w:eastAsiaTheme="minorEastAsia"/>
          <w:b/>
          <w:sz w:val="24"/>
          <w:szCs w:val="24"/>
        </w:rPr>
        <w:t>По цели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D941F6" w:rsidRPr="00D941F6" w:rsidRDefault="00D941F6" w:rsidP="00D941F6">
      <w:pPr>
        <w:pStyle w:val="a8"/>
        <w:numPr>
          <w:ilvl w:val="0"/>
          <w:numId w:val="17"/>
        </w:numPr>
        <w:shd w:val="clear" w:color="auto" w:fill="FFFFFF"/>
        <w:spacing w:after="0" w:line="240" w:lineRule="auto"/>
        <w:ind w:left="0" w:firstLine="709"/>
        <w:jc w:val="both"/>
        <w:textAlignment w:val="baseline"/>
        <w:rPr>
          <w:rFonts w:ascii="Times New Roman" w:hAnsi="Times New Roman" w:cs="Times New Roman"/>
          <w:sz w:val="24"/>
          <w:szCs w:val="24"/>
        </w:rPr>
      </w:pPr>
      <w:r w:rsidRPr="00D941F6">
        <w:rPr>
          <w:rFonts w:ascii="Times New Roman" w:hAnsi="Times New Roman" w:cs="Times New Roman"/>
          <w:sz w:val="24"/>
          <w:szCs w:val="24"/>
        </w:rPr>
        <w:t xml:space="preserve">Закупки, проведённые для нужд МУДО «ДЮСШ» проводилось в рамках  муниципальной программы городского округа Лотошино «Образование» подпрограмма </w:t>
      </w:r>
      <w:r w:rsidRPr="00D941F6">
        <w:rPr>
          <w:rFonts w:ascii="Times New Roman" w:hAnsi="Times New Roman" w:cs="Times New Roman"/>
          <w:sz w:val="24"/>
          <w:szCs w:val="24"/>
          <w:lang w:val="en-US"/>
        </w:rPr>
        <w:t>III</w:t>
      </w:r>
      <w:r w:rsidRPr="00D941F6">
        <w:rPr>
          <w:rFonts w:ascii="Times New Roman" w:hAnsi="Times New Roman" w:cs="Times New Roman"/>
          <w:sz w:val="24"/>
          <w:szCs w:val="24"/>
        </w:rPr>
        <w:t xml:space="preserve"> «Дополнительное образование, воспитание и психолого-социальное сопровождение детей» (в редакции изменений, действующих в проверяемом периоде).</w:t>
      </w:r>
    </w:p>
    <w:p w:rsidR="00D941F6" w:rsidRPr="00D941F6" w:rsidRDefault="00D941F6" w:rsidP="00D941F6">
      <w:pPr>
        <w:shd w:val="clear" w:color="auto" w:fill="FFFFFF"/>
        <w:spacing w:line="240" w:lineRule="auto"/>
        <w:textAlignment w:val="baseline"/>
        <w:rPr>
          <w:rFonts w:eastAsiaTheme="minorEastAsia"/>
          <w:color w:val="000000"/>
          <w:sz w:val="24"/>
          <w:szCs w:val="24"/>
        </w:rPr>
      </w:pPr>
      <w:r w:rsidRPr="00D941F6">
        <w:rPr>
          <w:rFonts w:eastAsiaTheme="minorEastAsia"/>
          <w:color w:val="000000"/>
          <w:sz w:val="24"/>
          <w:szCs w:val="24"/>
        </w:rPr>
        <w:t xml:space="preserve">Расходы на реализацию программных мероприятий определены исходя из затрат на обеспечение деятельности Учреждения, в том числе расходов на оплату работ и услуг (услуги связи, коммунальные услуги, работы и услуги по содержанию имущества и т.п.), </w:t>
      </w:r>
      <w:r w:rsidRPr="00D941F6">
        <w:rPr>
          <w:rFonts w:eastAsiaTheme="minorEastAsia"/>
          <w:color w:val="000000"/>
          <w:sz w:val="24"/>
          <w:szCs w:val="24"/>
        </w:rPr>
        <w:lastRenderedPageBreak/>
        <w:t>приобретение основных средств и материальных запасов, организацию и проведение спортивных мероприятий.</w:t>
      </w:r>
    </w:p>
    <w:p w:rsidR="00D941F6" w:rsidRPr="00D941F6" w:rsidRDefault="00D941F6" w:rsidP="00D941F6">
      <w:pPr>
        <w:spacing w:line="240" w:lineRule="auto"/>
        <w:rPr>
          <w:rFonts w:eastAsiaTheme="minorEastAsia"/>
          <w:sz w:val="24"/>
          <w:szCs w:val="24"/>
        </w:rPr>
      </w:pPr>
      <w:r w:rsidRPr="00D941F6">
        <w:rPr>
          <w:rFonts w:eastAsiaTheme="minorEastAsia"/>
          <w:sz w:val="24"/>
          <w:szCs w:val="24"/>
        </w:rPr>
        <w:t>В проверяемом периоде главным распорядителем бюджетных средств Учреждению - доведены и утверждены в бюджетных сметах лимиты бюджетных обязательств для осуществления закупок в 2021 году в объеме 348,7 тыс. рублей, на 2022 год – 465,9 тыс. рублей.</w:t>
      </w:r>
    </w:p>
    <w:p w:rsidR="00D941F6" w:rsidRPr="00D941F6" w:rsidRDefault="00D941F6" w:rsidP="00D941F6">
      <w:pPr>
        <w:autoSpaceDE w:val="0"/>
        <w:autoSpaceDN w:val="0"/>
        <w:adjustRightInd w:val="0"/>
        <w:spacing w:line="240" w:lineRule="auto"/>
        <w:rPr>
          <w:rFonts w:eastAsia="Calibri"/>
          <w:sz w:val="24"/>
          <w:szCs w:val="24"/>
        </w:rPr>
      </w:pPr>
      <w:r w:rsidRPr="00D941F6">
        <w:rPr>
          <w:sz w:val="24"/>
          <w:szCs w:val="24"/>
        </w:rPr>
        <w:t>В ходе проведения проверки, полученные документы (извещения о проведении закупок, технические задания, обоснования НМЦК, заявки участников, протоколы комиссий, муниципальные контракты, информация о заключенных контрактах, информация об исполнении контрактов) и иная  информация сопоставлялись с разноской и ведением закупок посредством Единой автоматизированной системой управления закупками Московской области (далее - ЕАСУЗ), электронным магазином Московской области (далее – ЭМ Московской области) и Единой Информационной Системой</w:t>
      </w:r>
      <w:r w:rsidRPr="00D941F6">
        <w:rPr>
          <w:rFonts w:eastAsia="Calibri"/>
          <w:sz w:val="24"/>
          <w:szCs w:val="24"/>
        </w:rPr>
        <w:t xml:space="preserve"> (далее - ЕИС).</w:t>
      </w:r>
    </w:p>
    <w:p w:rsidR="00D941F6" w:rsidRPr="00D941F6" w:rsidRDefault="00D941F6" w:rsidP="00D941F6">
      <w:pPr>
        <w:autoSpaceDE w:val="0"/>
        <w:autoSpaceDN w:val="0"/>
        <w:adjustRightInd w:val="0"/>
        <w:spacing w:line="240" w:lineRule="auto"/>
        <w:rPr>
          <w:sz w:val="24"/>
          <w:szCs w:val="24"/>
        </w:rPr>
      </w:pPr>
      <w:r w:rsidRPr="00D941F6">
        <w:rPr>
          <w:rFonts w:eastAsia="Calibri"/>
          <w:sz w:val="24"/>
          <w:szCs w:val="24"/>
        </w:rPr>
        <w:t xml:space="preserve">За проверяемый период все закупки для обеспечения собственных нужд субъектом контроля осуществлялись в соответствии с законодательством о контрактной системе в сфере закупок товаров, работ, услуг. В соответствии с </w:t>
      </w:r>
      <w:r w:rsidRPr="00D941F6">
        <w:rPr>
          <w:sz w:val="24"/>
          <w:szCs w:val="24"/>
        </w:rPr>
        <w:t xml:space="preserve">Федеральным законом от 05.04.2013 г. № 44-ФЗ </w:t>
      </w:r>
      <w:r w:rsidRPr="00D941F6">
        <w:rPr>
          <w:rFonts w:ascii="Courier New" w:eastAsia="Calibri" w:hAnsi="Courier New" w:cs="Courier New"/>
          <w:sz w:val="20"/>
        </w:rPr>
        <w:t xml:space="preserve"> </w:t>
      </w:r>
      <w:r w:rsidRPr="00D941F6">
        <w:rPr>
          <w:rFonts w:eastAsia="Calibri"/>
          <w:sz w:val="24"/>
          <w:szCs w:val="24"/>
        </w:rPr>
        <w:t>"О контрактной системе в сфере закупок товаров, работ, услуг для обеспечения государственных и муниципальных нужд"</w:t>
      </w:r>
      <w:r w:rsidRPr="00D941F6">
        <w:rPr>
          <w:rFonts w:ascii="Courier New" w:eastAsia="Calibri" w:hAnsi="Courier New" w:cs="Courier New"/>
          <w:sz w:val="20"/>
        </w:rPr>
        <w:t xml:space="preserve"> </w:t>
      </w:r>
      <w:r w:rsidRPr="00D941F6">
        <w:rPr>
          <w:sz w:val="24"/>
          <w:szCs w:val="24"/>
        </w:rPr>
        <w:t>(далее Закон №44-ФЗ) и действующими нормативно-правовыми актами Российской Федерации п</w:t>
      </w:r>
      <w:r w:rsidRPr="00D941F6">
        <w:rPr>
          <w:rFonts w:eastAsia="Calibri"/>
          <w:sz w:val="24"/>
          <w:szCs w:val="24"/>
        </w:rPr>
        <w:t xml:space="preserve">ланы-графики закупок за проверяемый период сформированы, утверждены и </w:t>
      </w:r>
      <w:r w:rsidRPr="00D941F6">
        <w:rPr>
          <w:sz w:val="24"/>
          <w:szCs w:val="24"/>
        </w:rPr>
        <w:t>размещены в ЕИС.</w:t>
      </w:r>
    </w:p>
    <w:p w:rsidR="00D941F6" w:rsidRDefault="00D941F6" w:rsidP="00D941F6">
      <w:pPr>
        <w:autoSpaceDE w:val="0"/>
        <w:autoSpaceDN w:val="0"/>
        <w:adjustRightInd w:val="0"/>
        <w:spacing w:line="240" w:lineRule="auto"/>
        <w:rPr>
          <w:sz w:val="24"/>
          <w:szCs w:val="24"/>
        </w:rPr>
      </w:pPr>
      <w:r w:rsidRPr="00D941F6">
        <w:rPr>
          <w:rFonts w:eastAsia="Calibri"/>
          <w:sz w:val="24"/>
          <w:szCs w:val="24"/>
        </w:rPr>
        <w:t xml:space="preserve">Субъектом контроля в проверяемом периоде осуществлялись закупки у единственного поставщика в соответствии со статьей 93 </w:t>
      </w:r>
      <w:r w:rsidRPr="00D941F6">
        <w:rPr>
          <w:sz w:val="24"/>
          <w:szCs w:val="24"/>
        </w:rPr>
        <w:t>Федерального закона от 05.04.2013 г. № 44-ФЗ.</w:t>
      </w:r>
    </w:p>
    <w:p w:rsidR="00D941F6" w:rsidRPr="00D941F6" w:rsidRDefault="00D941F6" w:rsidP="00D941F6">
      <w:pPr>
        <w:tabs>
          <w:tab w:val="left" w:pos="5387"/>
        </w:tabs>
        <w:autoSpaceDE w:val="0"/>
        <w:autoSpaceDN w:val="0"/>
        <w:adjustRightInd w:val="0"/>
        <w:spacing w:line="240" w:lineRule="auto"/>
        <w:rPr>
          <w:rFonts w:eastAsia="Calibri"/>
          <w:sz w:val="24"/>
          <w:szCs w:val="24"/>
          <w:lang w:eastAsia="en-US"/>
        </w:rPr>
      </w:pPr>
      <w:r w:rsidRPr="00D941F6">
        <w:rPr>
          <w:rFonts w:eastAsia="Calibri"/>
          <w:sz w:val="24"/>
          <w:szCs w:val="24"/>
          <w:lang w:eastAsia="en-US"/>
        </w:rPr>
        <w:t xml:space="preserve">В целях соблюдения требований статьи 38 Федерального закона от 05.04.2013 г. №44-ФЗ при осуществлении закупок для собственных нужд контрактным управляющим в проверяемом периоде назначены: директор МУДО «ДЮСШ» Яшкин И.И. (приказ №1 от 13.01.2020 года). </w:t>
      </w:r>
    </w:p>
    <w:p w:rsidR="00D941F6" w:rsidRPr="00D941F6" w:rsidRDefault="00D941F6" w:rsidP="00D941F6">
      <w:pPr>
        <w:spacing w:line="240" w:lineRule="auto"/>
        <w:ind w:firstLine="540"/>
        <w:rPr>
          <w:sz w:val="24"/>
          <w:szCs w:val="24"/>
        </w:rPr>
      </w:pPr>
      <w:r w:rsidRPr="00D941F6">
        <w:rPr>
          <w:sz w:val="24"/>
          <w:szCs w:val="24"/>
        </w:rPr>
        <w:t xml:space="preserve">В соответствии с </w:t>
      </w:r>
      <w:hyperlink r:id="rId10" w:history="1">
        <w:r w:rsidRPr="00D941F6">
          <w:rPr>
            <w:sz w:val="24"/>
            <w:szCs w:val="24"/>
          </w:rPr>
          <w:t>частью 2 статьи 38</w:t>
        </w:r>
      </w:hyperlink>
      <w:r w:rsidRPr="00D941F6">
        <w:rPr>
          <w:sz w:val="24"/>
          <w:szCs w:val="24"/>
        </w:rPr>
        <w:t xml:space="preserve"> Закона N 44-ФЗ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D941F6" w:rsidRPr="00D941F6" w:rsidRDefault="00D941F6" w:rsidP="00D941F6">
      <w:pPr>
        <w:spacing w:line="240" w:lineRule="auto"/>
        <w:ind w:firstLine="540"/>
        <w:rPr>
          <w:sz w:val="24"/>
          <w:szCs w:val="24"/>
        </w:rPr>
      </w:pPr>
      <w:r w:rsidRPr="00D941F6">
        <w:rPr>
          <w:sz w:val="24"/>
          <w:szCs w:val="24"/>
        </w:rPr>
        <w:t xml:space="preserve">При этом положениями </w:t>
      </w:r>
      <w:hyperlink r:id="rId11" w:history="1">
        <w:r w:rsidRPr="00D941F6">
          <w:rPr>
            <w:sz w:val="24"/>
            <w:szCs w:val="24"/>
          </w:rPr>
          <w:t>части 6 статьи 38</w:t>
        </w:r>
      </w:hyperlink>
      <w:r w:rsidRPr="00D941F6">
        <w:rPr>
          <w:sz w:val="24"/>
          <w:szCs w:val="24"/>
        </w:rPr>
        <w:t xml:space="preserve"> Закона N 44-ФЗ предусмотрено,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D941F6" w:rsidRPr="00D941F6" w:rsidRDefault="00D941F6" w:rsidP="00D941F6">
      <w:pPr>
        <w:spacing w:line="240" w:lineRule="auto"/>
        <w:ind w:firstLine="540"/>
        <w:rPr>
          <w:sz w:val="24"/>
          <w:szCs w:val="24"/>
        </w:rPr>
      </w:pPr>
      <w:r w:rsidRPr="00D941F6">
        <w:rPr>
          <w:sz w:val="24"/>
          <w:szCs w:val="24"/>
        </w:rPr>
        <w:t xml:space="preserve">Требования к образованию и обучению работников контрактной службы, контрактного управляющего определены профессиональными стандартами </w:t>
      </w:r>
      <w:hyperlink r:id="rId12" w:history="1">
        <w:r w:rsidRPr="00D941F6">
          <w:rPr>
            <w:sz w:val="24"/>
            <w:szCs w:val="24"/>
          </w:rPr>
          <w:t>"Специалист в сфере закупок"</w:t>
        </w:r>
      </w:hyperlink>
      <w:r w:rsidRPr="00D941F6">
        <w:rPr>
          <w:sz w:val="24"/>
          <w:szCs w:val="24"/>
        </w:rPr>
        <w:t xml:space="preserve">, </w:t>
      </w:r>
      <w:hyperlink r:id="rId13" w:history="1">
        <w:r w:rsidRPr="00D941F6">
          <w:rPr>
            <w:sz w:val="24"/>
            <w:szCs w:val="24"/>
          </w:rPr>
          <w:t>"Эксперт в сфере закупок"</w:t>
        </w:r>
      </w:hyperlink>
      <w:r w:rsidRPr="00D941F6">
        <w:rPr>
          <w:sz w:val="24"/>
          <w:szCs w:val="24"/>
        </w:rPr>
        <w:t>, утвержденными приказами Минтруда России от 10.09.2015 N 625н, N 626н.</w:t>
      </w:r>
    </w:p>
    <w:p w:rsidR="00D941F6" w:rsidRPr="00D941F6" w:rsidRDefault="00D941F6" w:rsidP="00D941F6">
      <w:pPr>
        <w:autoSpaceDE w:val="0"/>
        <w:autoSpaceDN w:val="0"/>
        <w:adjustRightInd w:val="0"/>
        <w:spacing w:line="240" w:lineRule="auto"/>
        <w:rPr>
          <w:rFonts w:eastAsiaTheme="minorEastAsia"/>
          <w:i/>
          <w:sz w:val="24"/>
          <w:szCs w:val="24"/>
        </w:rPr>
      </w:pPr>
      <w:r w:rsidRPr="00D941F6">
        <w:rPr>
          <w:rFonts w:eastAsiaTheme="minorEastAsia"/>
          <w:i/>
          <w:sz w:val="24"/>
          <w:szCs w:val="24"/>
        </w:rPr>
        <w:t xml:space="preserve">В нарушение  </w:t>
      </w:r>
      <w:hyperlink r:id="rId14" w:history="1">
        <w:r w:rsidRPr="00D941F6">
          <w:rPr>
            <w:rFonts w:eastAsiaTheme="minorEastAsia"/>
            <w:i/>
            <w:sz w:val="24"/>
            <w:szCs w:val="24"/>
          </w:rPr>
          <w:t>части 6 статьи 38</w:t>
        </w:r>
      </w:hyperlink>
      <w:r w:rsidRPr="00D941F6">
        <w:rPr>
          <w:rFonts w:eastAsiaTheme="minorEastAsia"/>
          <w:i/>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w:t>
      </w:r>
    </w:p>
    <w:p w:rsidR="00D941F6" w:rsidRPr="00D941F6" w:rsidRDefault="00D941F6" w:rsidP="00D941F6">
      <w:pPr>
        <w:autoSpaceDE w:val="0"/>
        <w:autoSpaceDN w:val="0"/>
        <w:adjustRightInd w:val="0"/>
        <w:spacing w:line="240" w:lineRule="auto"/>
        <w:rPr>
          <w:sz w:val="24"/>
          <w:szCs w:val="24"/>
          <w:lang w:eastAsia="en-US"/>
        </w:rPr>
      </w:pPr>
      <w:r w:rsidRPr="00D941F6">
        <w:rPr>
          <w:rFonts w:eastAsia="Calibri"/>
          <w:sz w:val="24"/>
          <w:szCs w:val="24"/>
          <w:lang w:eastAsia="en-US"/>
        </w:rPr>
        <w:t>В соответствии с требованиями Федерального закона от 06.12.2011 года №402-ФЗ «О бухгалтерском учете» МУДО «ДЮСШ» полномочия по организации и ведению бухгалтерского учета, исполнению бюджетной сметы (сметы доходов и расходов по приносящей доход деятельности), составлению и предоставлению бюджетной, внебюджетной, налоговой статистической и иной финансовой отчетности переданы МУ «Централизованная бухгалтерия муниципальных учреждений городского округа Лотошино».</w:t>
      </w:r>
    </w:p>
    <w:p w:rsidR="00D941F6" w:rsidRPr="00D941F6" w:rsidRDefault="00D941F6" w:rsidP="00D941F6">
      <w:pPr>
        <w:autoSpaceDE w:val="0"/>
        <w:autoSpaceDN w:val="0"/>
        <w:adjustRightInd w:val="0"/>
        <w:spacing w:line="240" w:lineRule="auto"/>
        <w:rPr>
          <w:rFonts w:eastAsia="Calibri"/>
          <w:sz w:val="24"/>
          <w:szCs w:val="24"/>
          <w:lang w:eastAsia="en-US"/>
        </w:rPr>
      </w:pPr>
      <w:r w:rsidRPr="00D941F6">
        <w:rPr>
          <w:rFonts w:eastAsia="Calibri"/>
          <w:sz w:val="24"/>
          <w:szCs w:val="24"/>
          <w:lang w:eastAsia="en-US"/>
        </w:rPr>
        <w:lastRenderedPageBreak/>
        <w:t>Между Учреждением и Муниципальным учреждением «Централизованная бухгалтерия муниципальных учреждений городского округа Лотошино» заключены Договора на бухгалтерское обслуживание от 13.01.2020 года № 12, от 10.01.2020 года № 12.</w:t>
      </w:r>
    </w:p>
    <w:p w:rsidR="00D941F6" w:rsidRPr="00D941F6" w:rsidRDefault="00D941F6" w:rsidP="00D941F6">
      <w:pPr>
        <w:pStyle w:val="a8"/>
        <w:numPr>
          <w:ilvl w:val="0"/>
          <w:numId w:val="17"/>
        </w:numPr>
        <w:spacing w:after="0" w:line="240" w:lineRule="auto"/>
        <w:ind w:left="0" w:firstLine="709"/>
        <w:jc w:val="both"/>
        <w:rPr>
          <w:rFonts w:ascii="Times New Roman" w:hAnsi="Times New Roman" w:cs="Times New Roman"/>
          <w:sz w:val="24"/>
          <w:szCs w:val="24"/>
          <w:lang w:eastAsia="zh-CN"/>
        </w:rPr>
      </w:pPr>
      <w:r w:rsidRPr="00D941F6">
        <w:rPr>
          <w:rFonts w:ascii="Times New Roman" w:hAnsi="Times New Roman" w:cs="Times New Roman"/>
          <w:sz w:val="24"/>
          <w:szCs w:val="24"/>
          <w:lang w:eastAsia="zh-CN"/>
        </w:rPr>
        <w:t xml:space="preserve">Всего за 2021 год </w:t>
      </w:r>
      <w:r w:rsidRPr="00D941F6">
        <w:rPr>
          <w:rFonts w:ascii="Times New Roman" w:hAnsi="Times New Roman" w:cs="Times New Roman"/>
          <w:sz w:val="24"/>
          <w:szCs w:val="24"/>
        </w:rPr>
        <w:t xml:space="preserve">Учреждением </w:t>
      </w:r>
      <w:r w:rsidRPr="00D941F6">
        <w:rPr>
          <w:rFonts w:ascii="Times New Roman" w:hAnsi="Times New Roman" w:cs="Times New Roman"/>
          <w:sz w:val="24"/>
          <w:szCs w:val="24"/>
          <w:lang w:eastAsia="zh-CN"/>
        </w:rPr>
        <w:t>заключено 17 контрактов (договоров) на общую сумму 372,0 тыс. руб. Информация о количестве, сумме и способах определения поставщика заключенных контрактов в проверяемом периоде  представлена в таблице (в рублях):</w:t>
      </w:r>
    </w:p>
    <w:p w:rsidR="00D941F6" w:rsidRPr="00D941F6" w:rsidRDefault="00D941F6" w:rsidP="00D941F6">
      <w:pPr>
        <w:spacing w:line="240" w:lineRule="auto"/>
        <w:ind w:left="709" w:firstLine="0"/>
        <w:rPr>
          <w:rFonts w:eastAsiaTheme="minorEastAsia"/>
          <w:sz w:val="24"/>
          <w:szCs w:val="24"/>
          <w:lang w:eastAsia="zh-CN"/>
        </w:rPr>
      </w:pPr>
      <w:r w:rsidRPr="00D941F6">
        <w:rPr>
          <w:rFonts w:eastAsiaTheme="minorEastAsia"/>
          <w:sz w:val="24"/>
          <w:szCs w:val="24"/>
          <w:lang w:eastAsia="zh-CN"/>
        </w:rPr>
        <w:t xml:space="preserve">   </w:t>
      </w:r>
    </w:p>
    <w:tbl>
      <w:tblPr>
        <w:tblW w:w="9367" w:type="dxa"/>
        <w:tblInd w:w="97" w:type="dxa"/>
        <w:tblLook w:val="04A0" w:firstRow="1" w:lastRow="0" w:firstColumn="1" w:lastColumn="0" w:noHBand="0" w:noVBand="1"/>
      </w:tblPr>
      <w:tblGrid>
        <w:gridCol w:w="6248"/>
        <w:gridCol w:w="1286"/>
        <w:gridCol w:w="1833"/>
      </w:tblGrid>
      <w:tr w:rsidR="00D941F6" w:rsidRPr="00001D96" w:rsidTr="00777D20">
        <w:trPr>
          <w:trHeight w:val="443"/>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F6" w:rsidRPr="00001D96" w:rsidRDefault="00D941F6" w:rsidP="00777D20">
            <w:pPr>
              <w:spacing w:line="240" w:lineRule="auto"/>
              <w:ind w:firstLine="0"/>
              <w:jc w:val="center"/>
              <w:rPr>
                <w:b/>
                <w:sz w:val="20"/>
              </w:rPr>
            </w:pPr>
            <w:r w:rsidRPr="00001D96">
              <w:rPr>
                <w:b/>
                <w:sz w:val="20"/>
              </w:rPr>
              <w:t>Основание закупки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D941F6" w:rsidRPr="00001D96" w:rsidRDefault="00D941F6" w:rsidP="00777D20">
            <w:pPr>
              <w:spacing w:line="240" w:lineRule="auto"/>
              <w:ind w:firstLine="0"/>
              <w:jc w:val="center"/>
              <w:rPr>
                <w:b/>
                <w:sz w:val="20"/>
              </w:rPr>
            </w:pPr>
            <w:r w:rsidRPr="00001D96">
              <w:rPr>
                <w:b/>
                <w:sz w:val="20"/>
              </w:rPr>
              <w:t>Количество</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D941F6" w:rsidRPr="00001D96" w:rsidRDefault="00D941F6" w:rsidP="00777D20">
            <w:pPr>
              <w:spacing w:line="240" w:lineRule="auto"/>
              <w:ind w:firstLine="0"/>
              <w:jc w:val="center"/>
              <w:rPr>
                <w:b/>
                <w:sz w:val="20"/>
              </w:rPr>
            </w:pPr>
            <w:r w:rsidRPr="00001D96">
              <w:rPr>
                <w:b/>
                <w:sz w:val="20"/>
              </w:rPr>
              <w:t>Сумма</w:t>
            </w:r>
          </w:p>
        </w:tc>
      </w:tr>
      <w:tr w:rsidR="00D941F6" w:rsidRPr="00001D96" w:rsidTr="00777D20">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F6" w:rsidRPr="00001D96" w:rsidRDefault="00D941F6" w:rsidP="00777D20">
            <w:pPr>
              <w:spacing w:line="240" w:lineRule="auto"/>
              <w:ind w:firstLine="0"/>
              <w:rPr>
                <w:sz w:val="20"/>
              </w:rPr>
            </w:pPr>
            <w:r w:rsidRPr="00001D96">
              <w:rPr>
                <w:sz w:val="20"/>
              </w:rPr>
              <w:t>п. 4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jc w:val="center"/>
              <w:rPr>
                <w:sz w:val="20"/>
              </w:rPr>
            </w:pPr>
            <w:r>
              <w:rPr>
                <w:sz w:val="20"/>
              </w:rPr>
              <w:t>16</w:t>
            </w:r>
          </w:p>
        </w:tc>
        <w:tc>
          <w:tcPr>
            <w:tcW w:w="1833" w:type="dxa"/>
            <w:tcBorders>
              <w:top w:val="single" w:sz="4" w:space="0" w:color="auto"/>
              <w:left w:val="nil"/>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jc w:val="center"/>
              <w:rPr>
                <w:sz w:val="20"/>
              </w:rPr>
            </w:pPr>
            <w:r>
              <w:rPr>
                <w:sz w:val="20"/>
              </w:rPr>
              <w:t>358 315,75</w:t>
            </w:r>
          </w:p>
        </w:tc>
      </w:tr>
      <w:tr w:rsidR="00D941F6" w:rsidRPr="00001D96" w:rsidTr="00777D20">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rPr>
                <w:sz w:val="20"/>
              </w:rPr>
            </w:pPr>
            <w:r w:rsidRPr="00001D96">
              <w:rPr>
                <w:sz w:val="20"/>
              </w:rPr>
              <w:t>п. 1 ч. 1 ст. 93 - закупка у естественного монополиста</w:t>
            </w:r>
          </w:p>
        </w:tc>
        <w:tc>
          <w:tcPr>
            <w:tcW w:w="1286" w:type="dxa"/>
            <w:tcBorders>
              <w:top w:val="single" w:sz="4" w:space="0" w:color="auto"/>
              <w:left w:val="nil"/>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jc w:val="center"/>
              <w:rPr>
                <w:sz w:val="20"/>
              </w:rPr>
            </w:pPr>
            <w:r>
              <w:rPr>
                <w:sz w:val="20"/>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jc w:val="center"/>
              <w:rPr>
                <w:sz w:val="20"/>
              </w:rPr>
            </w:pPr>
            <w:r>
              <w:rPr>
                <w:sz w:val="20"/>
              </w:rPr>
              <w:t>13 680,0</w:t>
            </w:r>
          </w:p>
        </w:tc>
      </w:tr>
      <w:tr w:rsidR="00D941F6" w:rsidRPr="00001D96" w:rsidTr="00777D20">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F6" w:rsidRPr="00001D96" w:rsidRDefault="00D941F6" w:rsidP="00777D20">
            <w:pPr>
              <w:spacing w:line="240" w:lineRule="auto"/>
              <w:ind w:firstLine="0"/>
              <w:rPr>
                <w:sz w:val="20"/>
              </w:rPr>
            </w:pPr>
            <w:r w:rsidRPr="00001D96">
              <w:rPr>
                <w:sz w:val="20"/>
              </w:rPr>
              <w:t>Итого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jc w:val="center"/>
              <w:rPr>
                <w:sz w:val="20"/>
              </w:rPr>
            </w:pPr>
            <w:r>
              <w:rPr>
                <w:sz w:val="20"/>
              </w:rPr>
              <w:t>17</w:t>
            </w:r>
          </w:p>
        </w:tc>
        <w:tc>
          <w:tcPr>
            <w:tcW w:w="1833" w:type="dxa"/>
            <w:tcBorders>
              <w:top w:val="single" w:sz="4" w:space="0" w:color="auto"/>
              <w:left w:val="nil"/>
              <w:bottom w:val="single" w:sz="4" w:space="0" w:color="auto"/>
              <w:right w:val="single" w:sz="4" w:space="0" w:color="auto"/>
            </w:tcBorders>
            <w:shd w:val="clear" w:color="auto" w:fill="auto"/>
            <w:vAlign w:val="center"/>
          </w:tcPr>
          <w:p w:rsidR="00D941F6" w:rsidRPr="00001D96" w:rsidRDefault="00D941F6" w:rsidP="00777D20">
            <w:pPr>
              <w:spacing w:line="240" w:lineRule="auto"/>
              <w:ind w:firstLine="0"/>
              <w:jc w:val="center"/>
              <w:rPr>
                <w:sz w:val="20"/>
              </w:rPr>
            </w:pPr>
            <w:r>
              <w:rPr>
                <w:sz w:val="20"/>
              </w:rPr>
              <w:t>371 995,75</w:t>
            </w:r>
          </w:p>
        </w:tc>
      </w:tr>
    </w:tbl>
    <w:p w:rsidR="00D941F6" w:rsidRDefault="00D941F6" w:rsidP="00D941F6">
      <w:pPr>
        <w:pStyle w:val="5"/>
        <w:shd w:val="clear" w:color="auto" w:fill="auto"/>
        <w:spacing w:line="240" w:lineRule="auto"/>
        <w:ind w:firstLine="709"/>
        <w:jc w:val="both"/>
        <w:rPr>
          <w:sz w:val="24"/>
          <w:szCs w:val="24"/>
        </w:rPr>
      </w:pPr>
    </w:p>
    <w:p w:rsidR="00D941F6" w:rsidRDefault="00D941F6" w:rsidP="00D941F6">
      <w:pPr>
        <w:pStyle w:val="5"/>
        <w:shd w:val="clear" w:color="auto" w:fill="auto"/>
        <w:spacing w:line="240" w:lineRule="auto"/>
        <w:ind w:firstLine="709"/>
        <w:jc w:val="both"/>
        <w:rPr>
          <w:sz w:val="24"/>
          <w:szCs w:val="24"/>
        </w:rPr>
      </w:pPr>
      <w:r w:rsidRPr="004143B2">
        <w:rPr>
          <w:sz w:val="24"/>
          <w:szCs w:val="24"/>
        </w:rPr>
        <w:t xml:space="preserve">Годовой объём закупок на сумму, не превышающую </w:t>
      </w:r>
      <w:r>
        <w:rPr>
          <w:sz w:val="24"/>
          <w:szCs w:val="24"/>
        </w:rPr>
        <w:t>шестьсот</w:t>
      </w:r>
      <w:r w:rsidRPr="004143B2">
        <w:rPr>
          <w:sz w:val="24"/>
          <w:szCs w:val="24"/>
        </w:rPr>
        <w:t xml:space="preserve"> тысяч рублей, составляет менее двух миллионов рублей, что соответствует требованиям пункта 4 части 1 статьи 93 Федерального закона № 44-ФЗ.</w:t>
      </w:r>
    </w:p>
    <w:p w:rsidR="00996C37" w:rsidRPr="003438BC" w:rsidRDefault="00996C37" w:rsidP="003438BC">
      <w:pPr>
        <w:pStyle w:val="a8"/>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3438BC">
        <w:rPr>
          <w:rFonts w:ascii="Times New Roman" w:hAnsi="Times New Roman" w:cs="Times New Roman"/>
          <w:sz w:val="24"/>
          <w:szCs w:val="24"/>
        </w:rPr>
        <w:t xml:space="preserve">        В нарушение </w:t>
      </w:r>
      <w:hyperlink r:id="rId15" w:history="1">
        <w:r w:rsidRPr="003438BC">
          <w:rPr>
            <w:rFonts w:ascii="Times New Roman" w:hAnsi="Times New Roman" w:cs="Times New Roman"/>
            <w:sz w:val="24"/>
            <w:szCs w:val="24"/>
          </w:rPr>
          <w:t xml:space="preserve"> статьи 94</w:t>
        </w:r>
      </w:hyperlink>
      <w:r w:rsidRPr="003438BC">
        <w:rPr>
          <w:rFonts w:ascii="Times New Roman" w:hAnsi="Times New Roman" w:cs="Times New Roman"/>
          <w:sz w:val="24"/>
          <w:szCs w:val="24"/>
        </w:rPr>
        <w:t xml:space="preserve"> Закона N 44-ФЗ созданная приказом №18 от 28.01.2021 года комиссия по приемке товаров и состоит из  3 человек.</w:t>
      </w:r>
    </w:p>
    <w:p w:rsidR="00996C37" w:rsidRPr="00996C37" w:rsidRDefault="00996C37" w:rsidP="003438B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contextualSpacing/>
        <w:rPr>
          <w:sz w:val="24"/>
          <w:szCs w:val="24"/>
        </w:rPr>
      </w:pPr>
      <w:r w:rsidRPr="00996C37">
        <w:rPr>
          <w:sz w:val="24"/>
          <w:szCs w:val="24"/>
        </w:rPr>
        <w:t xml:space="preserve">   В проверяемом периоде закупки на конкурсной основе Учреждением не осуществлялись.</w:t>
      </w:r>
    </w:p>
    <w:p w:rsidR="00996C37" w:rsidRPr="00996C37" w:rsidRDefault="00996C37" w:rsidP="003438BC">
      <w:pPr>
        <w:numPr>
          <w:ilvl w:val="0"/>
          <w:numId w:val="17"/>
        </w:numPr>
        <w:spacing w:line="240" w:lineRule="auto"/>
        <w:ind w:left="0" w:firstLine="709"/>
        <w:contextualSpacing/>
        <w:rPr>
          <w:rFonts w:eastAsiaTheme="minorEastAsia"/>
          <w:sz w:val="24"/>
          <w:szCs w:val="24"/>
          <w:lang w:eastAsia="zh-CN"/>
        </w:rPr>
      </w:pPr>
      <w:r w:rsidRPr="00996C37">
        <w:rPr>
          <w:rFonts w:eastAsiaTheme="minorEastAsia"/>
          <w:sz w:val="24"/>
          <w:szCs w:val="24"/>
          <w:lang w:eastAsia="zh-CN"/>
        </w:rPr>
        <w:t xml:space="preserve">Всего за 2021 год </w:t>
      </w:r>
      <w:r w:rsidRPr="00996C37">
        <w:rPr>
          <w:rFonts w:eastAsiaTheme="minorEastAsia"/>
          <w:sz w:val="24"/>
          <w:szCs w:val="24"/>
          <w:lang w:eastAsia="en-US"/>
        </w:rPr>
        <w:t xml:space="preserve">Учреждением </w:t>
      </w:r>
      <w:r w:rsidRPr="00996C37">
        <w:rPr>
          <w:rFonts w:eastAsiaTheme="minorEastAsia"/>
          <w:sz w:val="24"/>
          <w:szCs w:val="24"/>
          <w:lang w:eastAsia="zh-CN"/>
        </w:rPr>
        <w:t>заключено 17 контрактов (договоров) на общую сумму 372,0 тыс. рублей. Закупки осуществлялись у единственного поставщика в соответствии с требованиями части 1 статьи 93 Закона №44-ФЗ.</w:t>
      </w:r>
    </w:p>
    <w:p w:rsidR="00996C37" w:rsidRPr="00996C37" w:rsidRDefault="00996C37" w:rsidP="00996C37">
      <w:pPr>
        <w:spacing w:line="240" w:lineRule="auto"/>
        <w:rPr>
          <w:color w:val="FF0000"/>
          <w:sz w:val="24"/>
          <w:szCs w:val="24"/>
        </w:rPr>
      </w:pPr>
    </w:p>
    <w:p w:rsidR="00CF73BF" w:rsidRPr="003438BC" w:rsidRDefault="00CF73BF" w:rsidP="00261920">
      <w:pPr>
        <w:spacing w:line="240" w:lineRule="auto"/>
        <w:ind w:right="-1"/>
        <w:rPr>
          <w:b/>
          <w:sz w:val="24"/>
          <w:szCs w:val="24"/>
        </w:rPr>
      </w:pPr>
      <w:r w:rsidRPr="003438BC">
        <w:rPr>
          <w:b/>
          <w:sz w:val="24"/>
          <w:szCs w:val="24"/>
        </w:rPr>
        <w:t>9. Возражения или замечания руководителей объектов проверки на результаты контрольного мероприятия (при наличии):</w:t>
      </w:r>
      <w:r w:rsidR="00916DE0" w:rsidRPr="003438BC">
        <w:rPr>
          <w:b/>
          <w:sz w:val="24"/>
          <w:szCs w:val="24"/>
        </w:rPr>
        <w:t xml:space="preserve"> </w:t>
      </w:r>
      <w:r w:rsidR="005F1AA1" w:rsidRPr="003438BC">
        <w:rPr>
          <w:sz w:val="24"/>
          <w:szCs w:val="24"/>
        </w:rPr>
        <w:t>отсутствуют.</w:t>
      </w:r>
    </w:p>
    <w:p w:rsidR="00A304DC" w:rsidRPr="003438BC" w:rsidRDefault="00A304DC" w:rsidP="00261920">
      <w:pPr>
        <w:spacing w:line="240" w:lineRule="auto"/>
        <w:ind w:right="-1"/>
        <w:rPr>
          <w:b/>
          <w:sz w:val="24"/>
          <w:szCs w:val="24"/>
        </w:rPr>
      </w:pPr>
    </w:p>
    <w:p w:rsidR="002432D4" w:rsidRDefault="002432D4" w:rsidP="00196122">
      <w:pPr>
        <w:spacing w:line="240" w:lineRule="auto"/>
        <w:ind w:left="284" w:right="-284"/>
        <w:rPr>
          <w:color w:val="FF0000"/>
          <w:sz w:val="24"/>
          <w:szCs w:val="24"/>
        </w:rPr>
      </w:pPr>
      <w:bookmarkStart w:id="0" w:name="_GoBack"/>
      <w:bookmarkEnd w:id="0"/>
    </w:p>
    <w:p w:rsidR="003438BC" w:rsidRDefault="003438BC" w:rsidP="00196122">
      <w:pPr>
        <w:spacing w:line="240" w:lineRule="auto"/>
        <w:ind w:left="284" w:right="-284"/>
        <w:rPr>
          <w:color w:val="FF0000"/>
          <w:sz w:val="24"/>
          <w:szCs w:val="24"/>
        </w:rPr>
      </w:pPr>
    </w:p>
    <w:p w:rsidR="0097642A" w:rsidRPr="00193E58" w:rsidRDefault="0097642A" w:rsidP="00196122">
      <w:pPr>
        <w:spacing w:line="240" w:lineRule="auto"/>
        <w:ind w:left="284" w:right="-284"/>
        <w:rPr>
          <w:color w:val="FF0000"/>
          <w:sz w:val="24"/>
          <w:szCs w:val="24"/>
        </w:rPr>
      </w:pPr>
    </w:p>
    <w:p w:rsidR="00196122" w:rsidRPr="003438BC" w:rsidRDefault="00DD2661" w:rsidP="00F43D5D">
      <w:pPr>
        <w:spacing w:line="240" w:lineRule="auto"/>
        <w:ind w:right="-284" w:firstLine="0"/>
        <w:rPr>
          <w:sz w:val="24"/>
          <w:szCs w:val="24"/>
        </w:rPr>
      </w:pPr>
      <w:r w:rsidRPr="003438BC">
        <w:rPr>
          <w:sz w:val="24"/>
          <w:szCs w:val="24"/>
        </w:rPr>
        <w:t>Председатель</w:t>
      </w:r>
      <w:r w:rsidR="003438BC" w:rsidRPr="003438BC">
        <w:rPr>
          <w:sz w:val="24"/>
          <w:szCs w:val="24"/>
        </w:rPr>
        <w:t xml:space="preserve"> к</w:t>
      </w:r>
      <w:r w:rsidR="00196122" w:rsidRPr="003438BC">
        <w:rPr>
          <w:sz w:val="24"/>
          <w:szCs w:val="24"/>
        </w:rPr>
        <w:t>онтрольно-счетной палаты</w:t>
      </w:r>
    </w:p>
    <w:p w:rsidR="00196122" w:rsidRPr="003438BC" w:rsidRDefault="006640A6" w:rsidP="00F43D5D">
      <w:pPr>
        <w:spacing w:line="240" w:lineRule="auto"/>
        <w:ind w:right="-284" w:firstLine="0"/>
        <w:rPr>
          <w:sz w:val="24"/>
          <w:szCs w:val="24"/>
        </w:rPr>
      </w:pPr>
      <w:r w:rsidRPr="003438BC">
        <w:rPr>
          <w:sz w:val="24"/>
          <w:szCs w:val="24"/>
        </w:rPr>
        <w:t>г</w:t>
      </w:r>
      <w:r w:rsidR="00196122" w:rsidRPr="003438BC">
        <w:rPr>
          <w:sz w:val="24"/>
          <w:szCs w:val="24"/>
        </w:rPr>
        <w:t>ородского округа Лотошино</w:t>
      </w:r>
      <w:r w:rsidR="00196122" w:rsidRPr="003438BC">
        <w:rPr>
          <w:sz w:val="24"/>
          <w:szCs w:val="24"/>
        </w:rPr>
        <w:tab/>
      </w:r>
      <w:r w:rsidR="00196122" w:rsidRPr="003438BC">
        <w:rPr>
          <w:sz w:val="24"/>
          <w:szCs w:val="24"/>
        </w:rPr>
        <w:tab/>
      </w:r>
      <w:r w:rsidR="00196122" w:rsidRPr="003438BC">
        <w:rPr>
          <w:sz w:val="24"/>
          <w:szCs w:val="24"/>
        </w:rPr>
        <w:tab/>
      </w:r>
      <w:r w:rsidR="0097642A">
        <w:rPr>
          <w:sz w:val="24"/>
          <w:szCs w:val="24"/>
        </w:rPr>
        <w:t xml:space="preserve"> </w:t>
      </w:r>
      <w:r w:rsidR="00F43D5D" w:rsidRPr="003438BC">
        <w:rPr>
          <w:sz w:val="24"/>
          <w:szCs w:val="24"/>
        </w:rPr>
        <w:t xml:space="preserve">                 </w:t>
      </w:r>
      <w:r w:rsidR="00196122" w:rsidRPr="003438BC">
        <w:rPr>
          <w:sz w:val="24"/>
          <w:szCs w:val="24"/>
        </w:rPr>
        <w:tab/>
      </w:r>
      <w:r w:rsidR="00196122" w:rsidRPr="003438BC">
        <w:rPr>
          <w:sz w:val="24"/>
          <w:szCs w:val="24"/>
        </w:rPr>
        <w:tab/>
      </w:r>
      <w:r w:rsidR="00DD2661" w:rsidRPr="003438BC">
        <w:rPr>
          <w:sz w:val="24"/>
          <w:szCs w:val="24"/>
        </w:rPr>
        <w:t>С.Ю.Фролова</w:t>
      </w:r>
    </w:p>
    <w:sectPr w:rsidR="00196122" w:rsidRPr="003438BC" w:rsidSect="00114C5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7BA" w:rsidRDefault="004B47BA" w:rsidP="00C864E2">
      <w:pPr>
        <w:spacing w:line="240" w:lineRule="auto"/>
      </w:pPr>
      <w:r>
        <w:separator/>
      </w:r>
    </w:p>
  </w:endnote>
  <w:endnote w:type="continuationSeparator" w:id="0">
    <w:p w:rsidR="004B47BA" w:rsidRDefault="004B47BA" w:rsidP="00C8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024"/>
      <w:docPartObj>
        <w:docPartGallery w:val="Page Numbers (Bottom of Page)"/>
        <w:docPartUnique/>
      </w:docPartObj>
    </w:sdtPr>
    <w:sdtEndPr/>
    <w:sdtContent>
      <w:p w:rsidR="00C864E2" w:rsidRDefault="00C864E2">
        <w:pPr>
          <w:pStyle w:val="ad"/>
          <w:jc w:val="right"/>
        </w:pPr>
      </w:p>
      <w:p w:rsidR="00C864E2" w:rsidRDefault="003354D3">
        <w:pPr>
          <w:pStyle w:val="ad"/>
          <w:jc w:val="right"/>
        </w:pPr>
        <w:r>
          <w:fldChar w:fldCharType="begin"/>
        </w:r>
        <w:r>
          <w:instrText xml:space="preserve"> PAGE   \* MERGEFORMAT </w:instrText>
        </w:r>
        <w:r>
          <w:fldChar w:fldCharType="separate"/>
        </w:r>
        <w:r w:rsidR="00C8797A">
          <w:rPr>
            <w:noProof/>
          </w:rPr>
          <w:t>10</w:t>
        </w:r>
        <w:r>
          <w:rPr>
            <w:noProof/>
          </w:rPr>
          <w:fldChar w:fldCharType="end"/>
        </w:r>
      </w:p>
    </w:sdtContent>
  </w:sdt>
  <w:p w:rsidR="00C864E2" w:rsidRDefault="00C864E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7BA" w:rsidRDefault="004B47BA" w:rsidP="00C864E2">
      <w:pPr>
        <w:spacing w:line="240" w:lineRule="auto"/>
      </w:pPr>
      <w:r>
        <w:separator/>
      </w:r>
    </w:p>
  </w:footnote>
  <w:footnote w:type="continuationSeparator" w:id="0">
    <w:p w:rsidR="004B47BA" w:rsidRDefault="004B47BA" w:rsidP="00C8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4286"/>
    <w:multiLevelType w:val="hybridMultilevel"/>
    <w:tmpl w:val="1FD0F014"/>
    <w:lvl w:ilvl="0" w:tplc="ECE6B8C2">
      <w:start w:val="1"/>
      <w:numFmt w:val="decimal"/>
      <w:lvlText w:val="%1."/>
      <w:lvlJc w:val="left"/>
      <w:pPr>
        <w:ind w:left="4896"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581D77"/>
    <w:multiLevelType w:val="hybridMultilevel"/>
    <w:tmpl w:val="51DE0178"/>
    <w:lvl w:ilvl="0" w:tplc="D1CACE00">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991457"/>
    <w:multiLevelType w:val="hybridMultilevel"/>
    <w:tmpl w:val="0D5AB8AA"/>
    <w:lvl w:ilvl="0" w:tplc="3FA0632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80C4517"/>
    <w:multiLevelType w:val="hybridMultilevel"/>
    <w:tmpl w:val="F87094E2"/>
    <w:lvl w:ilvl="0" w:tplc="7F625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22CA5"/>
    <w:multiLevelType w:val="hybridMultilevel"/>
    <w:tmpl w:val="74F0B00A"/>
    <w:lvl w:ilvl="0" w:tplc="8E90B76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1A2EAD"/>
    <w:multiLevelType w:val="hybridMultilevel"/>
    <w:tmpl w:val="48D0C1C4"/>
    <w:lvl w:ilvl="0" w:tplc="41D03DD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293DA2"/>
    <w:multiLevelType w:val="hybridMultilevel"/>
    <w:tmpl w:val="A1246F72"/>
    <w:lvl w:ilvl="0" w:tplc="57C0C08E">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816E28"/>
    <w:multiLevelType w:val="hybridMultilevel"/>
    <w:tmpl w:val="702CD4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016D7"/>
    <w:multiLevelType w:val="hybridMultilevel"/>
    <w:tmpl w:val="C562D62E"/>
    <w:lvl w:ilvl="0" w:tplc="451CD9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801637"/>
    <w:multiLevelType w:val="multilevel"/>
    <w:tmpl w:val="051C8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8969A9"/>
    <w:multiLevelType w:val="hybridMultilevel"/>
    <w:tmpl w:val="E230D74C"/>
    <w:lvl w:ilvl="0" w:tplc="7F625D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2636C9"/>
    <w:multiLevelType w:val="hybridMultilevel"/>
    <w:tmpl w:val="DD42C85A"/>
    <w:lvl w:ilvl="0" w:tplc="F66AD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AE7A7F"/>
    <w:multiLevelType w:val="hybridMultilevel"/>
    <w:tmpl w:val="A3E4D768"/>
    <w:lvl w:ilvl="0" w:tplc="7F625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502115"/>
    <w:multiLevelType w:val="hybridMultilevel"/>
    <w:tmpl w:val="2B407B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1"/>
  </w:num>
  <w:num w:numId="3">
    <w:abstractNumId w:val="17"/>
  </w:num>
  <w:num w:numId="4">
    <w:abstractNumId w:val="18"/>
  </w:num>
  <w:num w:numId="5">
    <w:abstractNumId w:val="0"/>
  </w:num>
  <w:num w:numId="6">
    <w:abstractNumId w:val="16"/>
  </w:num>
  <w:num w:numId="7">
    <w:abstractNumId w:val="11"/>
  </w:num>
  <w:num w:numId="8">
    <w:abstractNumId w:val="9"/>
  </w:num>
  <w:num w:numId="9">
    <w:abstractNumId w:val="13"/>
  </w:num>
  <w:num w:numId="10">
    <w:abstractNumId w:val="5"/>
  </w:num>
  <w:num w:numId="11">
    <w:abstractNumId w:val="14"/>
  </w:num>
  <w:num w:numId="12">
    <w:abstractNumId w:val="2"/>
  </w:num>
  <w:num w:numId="13">
    <w:abstractNumId w:val="8"/>
  </w:num>
  <w:num w:numId="14">
    <w:abstractNumId w:val="12"/>
  </w:num>
  <w:num w:numId="15">
    <w:abstractNumId w:val="6"/>
  </w:num>
  <w:num w:numId="16">
    <w:abstractNumId w:val="4"/>
  </w:num>
  <w:num w:numId="17">
    <w:abstractNumId w:val="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828"/>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B8C"/>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07"/>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3E58"/>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4E5A"/>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223"/>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8E4"/>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38E"/>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54D3"/>
    <w:rsid w:val="00336901"/>
    <w:rsid w:val="003373AE"/>
    <w:rsid w:val="00337593"/>
    <w:rsid w:val="0034079E"/>
    <w:rsid w:val="003409D2"/>
    <w:rsid w:val="003418CB"/>
    <w:rsid w:val="003426E6"/>
    <w:rsid w:val="003427C3"/>
    <w:rsid w:val="00342B25"/>
    <w:rsid w:val="00343117"/>
    <w:rsid w:val="003438BC"/>
    <w:rsid w:val="00343CC6"/>
    <w:rsid w:val="00344983"/>
    <w:rsid w:val="00344BDE"/>
    <w:rsid w:val="00345100"/>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566C"/>
    <w:rsid w:val="004A6381"/>
    <w:rsid w:val="004A6B5A"/>
    <w:rsid w:val="004A6D7B"/>
    <w:rsid w:val="004A7D2C"/>
    <w:rsid w:val="004B09FE"/>
    <w:rsid w:val="004B147C"/>
    <w:rsid w:val="004B1602"/>
    <w:rsid w:val="004B1993"/>
    <w:rsid w:val="004B2033"/>
    <w:rsid w:val="004B22CE"/>
    <w:rsid w:val="004B35EE"/>
    <w:rsid w:val="004B420C"/>
    <w:rsid w:val="004B42F9"/>
    <w:rsid w:val="004B47BA"/>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38D"/>
    <w:rsid w:val="00504551"/>
    <w:rsid w:val="00504E15"/>
    <w:rsid w:val="00505CCF"/>
    <w:rsid w:val="005068A9"/>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3B78"/>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0A6"/>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826"/>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03E"/>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42B"/>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42A"/>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6C37"/>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466B"/>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97A"/>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3CEC"/>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1F6"/>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2FCB"/>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3D57"/>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4DDE"/>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711"/>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08B"/>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253FB-AA48-4488-9B3B-BF02678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link w:val="a6"/>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link w:val="a9"/>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9">
    <w:name w:val="Абзац списка Знак"/>
    <w:link w:val="a8"/>
    <w:uiPriority w:val="34"/>
    <w:rsid w:val="00196122"/>
    <w:rPr>
      <w:rFonts w:eastAsiaTheme="minorEastAsia"/>
    </w:rPr>
  </w:style>
  <w:style w:type="character" w:customStyle="1" w:styleId="aa">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a"/>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ab">
    <w:name w:val="header"/>
    <w:basedOn w:val="a"/>
    <w:link w:val="ac"/>
    <w:uiPriority w:val="99"/>
    <w:semiHidden/>
    <w:unhideWhenUsed/>
    <w:rsid w:val="00C864E2"/>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C864E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C864E2"/>
    <w:pPr>
      <w:tabs>
        <w:tab w:val="center" w:pos="4677"/>
        <w:tab w:val="right" w:pos="9355"/>
      </w:tabs>
      <w:spacing w:line="240" w:lineRule="auto"/>
    </w:pPr>
  </w:style>
  <w:style w:type="character" w:customStyle="1" w:styleId="ae">
    <w:name w:val="Нижний колонтитул Знак"/>
    <w:basedOn w:val="a0"/>
    <w:link w:val="ad"/>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character" w:customStyle="1" w:styleId="10">
    <w:name w:val="Основной текст1"/>
    <w:basedOn w:val="aa"/>
    <w:rsid w:val="005043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0"/>
    <w:rsid w:val="0050438D"/>
  </w:style>
  <w:style w:type="character" w:customStyle="1" w:styleId="a6">
    <w:name w:val="Без интервала Знак"/>
    <w:basedOn w:val="a0"/>
    <w:link w:val="a5"/>
    <w:uiPriority w:val="1"/>
    <w:rsid w:val="0050438D"/>
    <w:rPr>
      <w:rFonts w:eastAsiaTheme="minorEastAsia"/>
    </w:rPr>
  </w:style>
  <w:style w:type="paragraph" w:customStyle="1" w:styleId="af">
    <w:name w:val="адрес"/>
    <w:basedOn w:val="a"/>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0"/>
    <w:rsid w:val="002432D4"/>
  </w:style>
  <w:style w:type="paragraph" w:customStyle="1" w:styleId="32">
    <w:name w:val="Основной текст3"/>
    <w:basedOn w:val="a"/>
    <w:rsid w:val="00FC1711"/>
    <w:pPr>
      <w:widowControl w:val="0"/>
      <w:shd w:val="clear" w:color="auto" w:fill="FFFFFF"/>
      <w:spacing w:before="300" w:line="252" w:lineRule="exact"/>
      <w:ind w:hanging="380"/>
    </w:pPr>
    <w:rPr>
      <w:sz w:val="22"/>
      <w:szCs w:val="22"/>
      <w:lang w:eastAsia="en-US"/>
    </w:rPr>
  </w:style>
  <w:style w:type="character" w:customStyle="1" w:styleId="33">
    <w:name w:val="Заголовок №3_"/>
    <w:basedOn w:val="a0"/>
    <w:link w:val="34"/>
    <w:rsid w:val="00FC1711"/>
    <w:rPr>
      <w:rFonts w:ascii="Arial" w:eastAsia="Arial" w:hAnsi="Arial" w:cs="Arial"/>
      <w:b/>
      <w:bCs/>
      <w:sz w:val="30"/>
      <w:szCs w:val="30"/>
      <w:shd w:val="clear" w:color="auto" w:fill="FFFFFF"/>
    </w:rPr>
  </w:style>
  <w:style w:type="paragraph" w:customStyle="1" w:styleId="34">
    <w:name w:val="Заголовок №3"/>
    <w:basedOn w:val="a"/>
    <w:link w:val="33"/>
    <w:rsid w:val="00FC1711"/>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35">
    <w:name w:val="Основной текст (3)"/>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table" w:customStyle="1" w:styleId="11">
    <w:name w:val="Сетка таблицы1"/>
    <w:basedOn w:val="a1"/>
    <w:next w:val="a4"/>
    <w:uiPriority w:val="59"/>
    <w:rsid w:val="00D73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4"/>
    <w:uiPriority w:val="59"/>
    <w:rsid w:val="00D73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4"/>
    <w:uiPriority w:val="59"/>
    <w:rsid w:val="00D73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unhideWhenUsed/>
    <w:rsid w:val="0024038E"/>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7707&amp;date=14.02.2022&amp;dst=100355&amp;field=134" TargetMode="External"/><Relationship Id="rId13" Type="http://schemas.openxmlformats.org/officeDocument/2006/relationships/hyperlink" Target="https://login.consultant.ru/link/?req=doc&amp;base=LAW&amp;n=187426&amp;dst=100010&amp;field=134&amp;date=26.01.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87278&amp;dst=100009&amp;field=134&amp;date=26.01.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2439&amp;dst=100466&amp;field=134&amp;date=26.01.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2380&amp;dst=101299&amp;field=134&amp;date=21.03.2022" TargetMode="External"/><Relationship Id="rId10" Type="http://schemas.openxmlformats.org/officeDocument/2006/relationships/hyperlink" Target="https://login.consultant.ru/link/?req=doc&amp;base=LAW&amp;n=342439&amp;dst=101880&amp;field=134&amp;date=26.01.2022" TargetMode="External"/><Relationship Id="rId4" Type="http://schemas.openxmlformats.org/officeDocument/2006/relationships/settings" Target="settings.xml"/><Relationship Id="rId9" Type="http://schemas.openxmlformats.org/officeDocument/2006/relationships/hyperlink" Target="https://login.consultant.ru/link/?req=doc&amp;base=LAW&amp;n=122807&amp;date=14.02.2022" TargetMode="External"/><Relationship Id="rId14" Type="http://schemas.openxmlformats.org/officeDocument/2006/relationships/hyperlink" Target="consultantplus://offline/ref=A1573EA1598A5E896B11CAE56868DDB2104E95A1357E809A0986C00C9C4017B89CFE774F862C2D73B485B4F1377BF38B2999CFD225E14261FF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AE21-A743-4236-875E-08ADEC3E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2020-07-13T11:29:00Z</cp:lastPrinted>
  <dcterms:created xsi:type="dcterms:W3CDTF">2022-04-01T07:43:00Z</dcterms:created>
  <dcterms:modified xsi:type="dcterms:W3CDTF">2022-04-01T07:43:00Z</dcterms:modified>
</cp:coreProperties>
</file>