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400" w:rsidRPr="00ED3400" w:rsidRDefault="008A3C8A" w:rsidP="00ED3400">
      <w:pPr>
        <w:spacing w:after="0" w:line="240" w:lineRule="auto"/>
        <w:ind w:firstLine="709"/>
        <w:jc w:val="both"/>
        <w:rPr>
          <w:rFonts w:ascii="Times New Roman" w:hAnsi="Times New Roman" w:cs="Times New Roman"/>
          <w:bCs/>
          <w:sz w:val="28"/>
          <w:szCs w:val="28"/>
        </w:rPr>
      </w:pPr>
      <w:r w:rsidRPr="00E61E5A">
        <w:rPr>
          <w:rFonts w:ascii="Times New Roman" w:hAnsi="Times New Roman" w:cs="Times New Roman"/>
          <w:bCs/>
          <w:sz w:val="28"/>
          <w:szCs w:val="28"/>
        </w:rPr>
        <w:t xml:space="preserve">Контрольно-счетная палата городского округа Лотошино представила отчет по результатам контрольного мероприятия «Аудит в сфере закупок в рамках исполнения требований Федерального закона от 05.04.2013 </w:t>
      </w:r>
      <w:proofErr w:type="gramStart"/>
      <w:r w:rsidRPr="00E61E5A">
        <w:rPr>
          <w:rFonts w:ascii="Times New Roman" w:hAnsi="Times New Roman" w:cs="Times New Roman"/>
          <w:bCs/>
          <w:sz w:val="28"/>
          <w:szCs w:val="28"/>
        </w:rPr>
        <w:t>года  №</w:t>
      </w:r>
      <w:proofErr w:type="gramEnd"/>
      <w:r w:rsidRPr="00E61E5A">
        <w:rPr>
          <w:rFonts w:ascii="Times New Roman" w:hAnsi="Times New Roman" w:cs="Times New Roman"/>
          <w:bCs/>
          <w:sz w:val="28"/>
          <w:szCs w:val="28"/>
        </w:rPr>
        <w:t xml:space="preserve">44-ФЗ "О контрактной системе в сфере закупок товаров, работ, услуг для обеспечения государственных и муниципальных нужд» в отношении </w:t>
      </w:r>
      <w:r w:rsidR="00ED3400" w:rsidRPr="00ED3400">
        <w:rPr>
          <w:rFonts w:ascii="Times New Roman" w:hAnsi="Times New Roman" w:cs="Times New Roman"/>
          <w:bCs/>
          <w:sz w:val="28"/>
          <w:szCs w:val="28"/>
        </w:rPr>
        <w:t>следующих муниципальных контрактов:</w:t>
      </w:r>
    </w:p>
    <w:p w:rsidR="00ED3400" w:rsidRPr="00ED3400" w:rsidRDefault="00ED3400" w:rsidP="00ED3400">
      <w:pPr>
        <w:spacing w:after="0" w:line="240" w:lineRule="auto"/>
        <w:ind w:firstLine="709"/>
        <w:jc w:val="both"/>
        <w:rPr>
          <w:rFonts w:ascii="Times New Roman" w:hAnsi="Times New Roman" w:cs="Times New Roman"/>
          <w:bCs/>
          <w:sz w:val="28"/>
          <w:szCs w:val="28"/>
        </w:rPr>
      </w:pPr>
      <w:r w:rsidRPr="00ED3400">
        <w:rPr>
          <w:rFonts w:ascii="Times New Roman" w:hAnsi="Times New Roman" w:cs="Times New Roman"/>
          <w:bCs/>
          <w:sz w:val="28"/>
          <w:szCs w:val="28"/>
        </w:rPr>
        <w:t xml:space="preserve">- Муниципальный контракт №211/IX-2022   </w:t>
      </w:r>
      <w:proofErr w:type="gramStart"/>
      <w:r w:rsidRPr="00ED3400">
        <w:rPr>
          <w:rFonts w:ascii="Times New Roman" w:hAnsi="Times New Roman" w:cs="Times New Roman"/>
          <w:bCs/>
          <w:sz w:val="28"/>
          <w:szCs w:val="28"/>
        </w:rPr>
        <w:t>от  10.10.2022</w:t>
      </w:r>
      <w:proofErr w:type="gramEnd"/>
      <w:r w:rsidRPr="00ED3400">
        <w:rPr>
          <w:rFonts w:ascii="Times New Roman" w:hAnsi="Times New Roman" w:cs="Times New Roman"/>
          <w:bCs/>
          <w:sz w:val="28"/>
          <w:szCs w:val="28"/>
        </w:rPr>
        <w:t xml:space="preserve"> года  «Оказание услуг по определению возможности с последующим выполнением мероприятий по созданию благоприятных условий для последующего использования земельного участка с кадастровым номером 50:02:0040110:309, площадью 30686 </w:t>
      </w:r>
      <w:proofErr w:type="spellStart"/>
      <w:r w:rsidRPr="00ED3400">
        <w:rPr>
          <w:rFonts w:ascii="Times New Roman" w:hAnsi="Times New Roman" w:cs="Times New Roman"/>
          <w:bCs/>
          <w:sz w:val="28"/>
          <w:szCs w:val="28"/>
        </w:rPr>
        <w:t>кв.м</w:t>
      </w:r>
      <w:proofErr w:type="spellEnd"/>
      <w:r w:rsidRPr="00ED3400">
        <w:rPr>
          <w:rFonts w:ascii="Times New Roman" w:hAnsi="Times New Roman" w:cs="Times New Roman"/>
          <w:bCs/>
          <w:sz w:val="28"/>
          <w:szCs w:val="28"/>
        </w:rPr>
        <w:t>.».</w:t>
      </w:r>
    </w:p>
    <w:p w:rsidR="00ED3400" w:rsidRPr="00ED3400" w:rsidRDefault="00ED3400" w:rsidP="00ED3400">
      <w:pPr>
        <w:spacing w:after="0" w:line="240" w:lineRule="auto"/>
        <w:ind w:firstLine="709"/>
        <w:jc w:val="both"/>
        <w:rPr>
          <w:rFonts w:ascii="Times New Roman" w:hAnsi="Times New Roman" w:cs="Times New Roman"/>
          <w:bCs/>
          <w:sz w:val="28"/>
          <w:szCs w:val="28"/>
        </w:rPr>
      </w:pPr>
      <w:r w:rsidRPr="00ED3400">
        <w:rPr>
          <w:rFonts w:ascii="Times New Roman" w:hAnsi="Times New Roman" w:cs="Times New Roman"/>
          <w:bCs/>
          <w:sz w:val="28"/>
          <w:szCs w:val="28"/>
        </w:rPr>
        <w:t xml:space="preserve">- Муниципальный контракт №22/II-2022 от 26.02.2022 </w:t>
      </w:r>
      <w:proofErr w:type="gramStart"/>
      <w:r w:rsidRPr="00ED3400">
        <w:rPr>
          <w:rFonts w:ascii="Times New Roman" w:hAnsi="Times New Roman" w:cs="Times New Roman"/>
          <w:bCs/>
          <w:sz w:val="28"/>
          <w:szCs w:val="28"/>
        </w:rPr>
        <w:t>года  «</w:t>
      </w:r>
      <w:proofErr w:type="gramEnd"/>
      <w:r w:rsidRPr="00ED3400">
        <w:rPr>
          <w:rFonts w:ascii="Times New Roman" w:hAnsi="Times New Roman" w:cs="Times New Roman"/>
          <w:bCs/>
          <w:sz w:val="28"/>
          <w:szCs w:val="28"/>
        </w:rPr>
        <w:t xml:space="preserve">Разработка проектно-сметной документации с проведением работ по капитальному ремонту здания МОУ "Лотошинская средняя общеобразовательная школа №1" по адресу: Московская область, </w:t>
      </w:r>
      <w:proofErr w:type="spellStart"/>
      <w:r w:rsidRPr="00ED3400">
        <w:rPr>
          <w:rFonts w:ascii="Times New Roman" w:hAnsi="Times New Roman" w:cs="Times New Roman"/>
          <w:bCs/>
          <w:sz w:val="28"/>
          <w:szCs w:val="28"/>
        </w:rPr>
        <w:t>г.о</w:t>
      </w:r>
      <w:proofErr w:type="spellEnd"/>
      <w:r w:rsidRPr="00ED3400">
        <w:rPr>
          <w:rFonts w:ascii="Times New Roman" w:hAnsi="Times New Roman" w:cs="Times New Roman"/>
          <w:bCs/>
          <w:sz w:val="28"/>
          <w:szCs w:val="28"/>
        </w:rPr>
        <w:t xml:space="preserve">. Лотошино, </w:t>
      </w:r>
      <w:proofErr w:type="spellStart"/>
      <w:r w:rsidRPr="00ED3400">
        <w:rPr>
          <w:rFonts w:ascii="Times New Roman" w:hAnsi="Times New Roman" w:cs="Times New Roman"/>
          <w:bCs/>
          <w:sz w:val="28"/>
          <w:szCs w:val="28"/>
        </w:rPr>
        <w:t>рп</w:t>
      </w:r>
      <w:proofErr w:type="spellEnd"/>
      <w:r w:rsidRPr="00ED3400">
        <w:rPr>
          <w:rFonts w:ascii="Times New Roman" w:hAnsi="Times New Roman" w:cs="Times New Roman"/>
          <w:bCs/>
          <w:sz w:val="28"/>
          <w:szCs w:val="28"/>
        </w:rPr>
        <w:t>. Лотошино, ул. Колхозная, д.41».</w:t>
      </w:r>
    </w:p>
    <w:p w:rsidR="00ED3400" w:rsidRDefault="00ED3400" w:rsidP="00ED3400">
      <w:pPr>
        <w:spacing w:after="0" w:line="240" w:lineRule="auto"/>
        <w:ind w:firstLine="709"/>
        <w:jc w:val="both"/>
        <w:rPr>
          <w:rFonts w:ascii="Times New Roman" w:hAnsi="Times New Roman" w:cs="Times New Roman"/>
          <w:bCs/>
          <w:sz w:val="28"/>
          <w:szCs w:val="28"/>
        </w:rPr>
      </w:pPr>
      <w:r w:rsidRPr="00ED3400">
        <w:rPr>
          <w:rFonts w:ascii="Times New Roman" w:hAnsi="Times New Roman" w:cs="Times New Roman"/>
          <w:bCs/>
          <w:sz w:val="28"/>
          <w:szCs w:val="28"/>
        </w:rPr>
        <w:t xml:space="preserve">-  Муниципальный контракт №86/V-2022 от 08.06.2022 года «Выполнение работ по сносу здания художественной мастерской и ритуальных услуг со служебными постройками (кадастровый номер 50:02:0020506:595), расположенного на земельном участке с кадастровым номером 50:02: 0020506:4, по адресу: Московская область, городской округ Лотошино, </w:t>
      </w:r>
      <w:proofErr w:type="spellStart"/>
      <w:r w:rsidRPr="00ED3400">
        <w:rPr>
          <w:rFonts w:ascii="Times New Roman" w:hAnsi="Times New Roman" w:cs="Times New Roman"/>
          <w:bCs/>
          <w:sz w:val="28"/>
          <w:szCs w:val="28"/>
        </w:rPr>
        <w:t>рп.Лотошино</w:t>
      </w:r>
      <w:proofErr w:type="spellEnd"/>
      <w:r w:rsidRPr="00ED3400">
        <w:rPr>
          <w:rFonts w:ascii="Times New Roman" w:hAnsi="Times New Roman" w:cs="Times New Roman"/>
          <w:bCs/>
          <w:sz w:val="28"/>
          <w:szCs w:val="28"/>
        </w:rPr>
        <w:t>, ул. Спортивная, д.19».</w:t>
      </w:r>
    </w:p>
    <w:p w:rsidR="008A3C8A" w:rsidRPr="00E61E5A" w:rsidRDefault="008A3C8A" w:rsidP="00ED3400">
      <w:pPr>
        <w:spacing w:after="0" w:line="240" w:lineRule="auto"/>
        <w:ind w:firstLine="709"/>
        <w:jc w:val="both"/>
        <w:rPr>
          <w:rFonts w:ascii="Times New Roman" w:hAnsi="Times New Roman" w:cs="Times New Roman"/>
          <w:bCs/>
          <w:sz w:val="28"/>
          <w:szCs w:val="28"/>
        </w:rPr>
      </w:pPr>
      <w:bookmarkStart w:id="0" w:name="_GoBack"/>
      <w:bookmarkEnd w:id="0"/>
      <w:r w:rsidRPr="00E61E5A">
        <w:rPr>
          <w:rFonts w:ascii="Times New Roman" w:hAnsi="Times New Roman" w:cs="Times New Roman"/>
          <w:bCs/>
          <w:sz w:val="28"/>
          <w:szCs w:val="28"/>
        </w:rPr>
        <w:t>Проверка проведена по поручению Совета депутатов городского округа Лотошино.</w:t>
      </w:r>
    </w:p>
    <w:p w:rsidR="008A3C8A" w:rsidRDefault="008A3C8A" w:rsidP="008A3C8A">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Объектами контрольного мероприятия являлись</w:t>
      </w:r>
      <w:r w:rsidRPr="00624FF8">
        <w:rPr>
          <w:rFonts w:ascii="Times New Roman" w:hAnsi="Times New Roman" w:cs="Times New Roman"/>
          <w:sz w:val="28"/>
          <w:szCs w:val="28"/>
        </w:rPr>
        <w:t>:</w:t>
      </w:r>
      <w:r w:rsidRPr="00624FF8">
        <w:rPr>
          <w:rFonts w:ascii="Times New Roman" w:hAnsi="Times New Roman" w:cs="Times New Roman"/>
          <w:bCs/>
          <w:sz w:val="28"/>
          <w:szCs w:val="28"/>
        </w:rPr>
        <w:t xml:space="preserve"> администрация городского округа Лотошино Московской области, </w:t>
      </w:r>
      <w:r>
        <w:rPr>
          <w:rFonts w:ascii="Times New Roman" w:hAnsi="Times New Roman" w:cs="Times New Roman"/>
          <w:bCs/>
          <w:sz w:val="28"/>
          <w:szCs w:val="28"/>
        </w:rPr>
        <w:t xml:space="preserve">муниципальное учреждение </w:t>
      </w:r>
      <w:r w:rsidRPr="00AB171E">
        <w:rPr>
          <w:rFonts w:ascii="Times New Roman" w:hAnsi="Times New Roman" w:cs="Times New Roman"/>
          <w:bCs/>
          <w:sz w:val="28"/>
          <w:szCs w:val="28"/>
        </w:rPr>
        <w:t>«Централизованная бухгалтерия муниципальных учреждений городского округа Лотошино», муниципальное учреждение «Центр муниципальных закупок», Отдел по образованию администрации городского округа Лотошино</w:t>
      </w:r>
      <w:r>
        <w:rPr>
          <w:rFonts w:ascii="Times New Roman" w:hAnsi="Times New Roman" w:cs="Times New Roman"/>
          <w:bCs/>
          <w:sz w:val="28"/>
          <w:szCs w:val="28"/>
        </w:rPr>
        <w:t>, муниципальное общеобразовательное учреждение «Лотошинская средняя общеобразовательная школа №1».</w:t>
      </w:r>
    </w:p>
    <w:p w:rsidR="008A3C8A" w:rsidRPr="008A3C8A" w:rsidRDefault="008A3C8A" w:rsidP="008A3C8A">
      <w:pPr>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xml:space="preserve">Предмет проверки: процесс расходования средств бюджета муниципального образования, направляемых на закупки в соответствии с требованиями законодательства о контрактной системе в сфере закупок.  </w:t>
      </w:r>
    </w:p>
    <w:p w:rsidR="008A3C8A" w:rsidRPr="001D46E3" w:rsidRDefault="008A3C8A" w:rsidP="008A3C8A">
      <w:pPr>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Цель контрольного мероприятия:</w:t>
      </w:r>
      <w:r>
        <w:rPr>
          <w:rFonts w:ascii="Times New Roman" w:hAnsi="Times New Roman" w:cs="Times New Roman"/>
          <w:b/>
          <w:sz w:val="28"/>
          <w:szCs w:val="28"/>
        </w:rPr>
        <w:t xml:space="preserve"> </w:t>
      </w:r>
      <w:r w:rsidRPr="001D46E3">
        <w:rPr>
          <w:rFonts w:ascii="Times New Roman" w:hAnsi="Times New Roman" w:cs="Times New Roman"/>
          <w:sz w:val="28"/>
          <w:szCs w:val="28"/>
        </w:rPr>
        <w:t>анализ и оценка результатов закупок, достижения целей осуществления закупок:</w:t>
      </w:r>
    </w:p>
    <w:p w:rsidR="008A3C8A" w:rsidRPr="001D46E3" w:rsidRDefault="008A3C8A" w:rsidP="008A3C8A">
      <w:pPr>
        <w:spacing w:after="0" w:line="240" w:lineRule="auto"/>
        <w:ind w:firstLine="709"/>
        <w:jc w:val="both"/>
        <w:rPr>
          <w:rFonts w:ascii="Times New Roman" w:hAnsi="Times New Roman" w:cs="Times New Roman"/>
          <w:sz w:val="28"/>
          <w:szCs w:val="28"/>
        </w:rPr>
      </w:pPr>
      <w:r w:rsidRPr="001D46E3">
        <w:rPr>
          <w:rFonts w:ascii="Times New Roman" w:hAnsi="Times New Roman" w:cs="Times New Roman"/>
          <w:sz w:val="28"/>
          <w:szCs w:val="28"/>
        </w:rPr>
        <w:t>- достижение целей и реализации мероприятий, предусмотренных государственными программами Московской области (муниципальными программами городского округа Лотошино)</w:t>
      </w:r>
    </w:p>
    <w:p w:rsidR="008A3C8A" w:rsidRPr="001D46E3" w:rsidRDefault="008A3C8A" w:rsidP="008A3C8A">
      <w:pPr>
        <w:spacing w:after="0" w:line="240" w:lineRule="auto"/>
        <w:ind w:firstLine="709"/>
        <w:jc w:val="both"/>
        <w:rPr>
          <w:rFonts w:ascii="Times New Roman" w:hAnsi="Times New Roman" w:cs="Times New Roman"/>
          <w:sz w:val="28"/>
          <w:szCs w:val="28"/>
        </w:rPr>
      </w:pPr>
      <w:r w:rsidRPr="001D46E3">
        <w:rPr>
          <w:rFonts w:ascii="Times New Roman" w:hAnsi="Times New Roman" w:cs="Times New Roman"/>
          <w:sz w:val="28"/>
          <w:szCs w:val="28"/>
        </w:rPr>
        <w:t>- выполнение функций и полномочий органов местного самоуправления.</w:t>
      </w:r>
    </w:p>
    <w:p w:rsidR="00AD4BD9" w:rsidRDefault="00AD4BD9"/>
    <w:p w:rsidR="008A3C8A" w:rsidRPr="00DC2AA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DC2AAA">
        <w:rPr>
          <w:rFonts w:ascii="Times New Roman" w:hAnsi="Times New Roman" w:cs="Times New Roman"/>
          <w:sz w:val="28"/>
          <w:szCs w:val="28"/>
        </w:rPr>
        <w:t>При оценке эффективности расходов на закупки, были проанализированы</w:t>
      </w:r>
    </w:p>
    <w:p w:rsidR="008A3C8A" w:rsidRPr="00DC2AA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DC2AAA">
        <w:rPr>
          <w:rFonts w:ascii="Times New Roman" w:hAnsi="Times New Roman" w:cs="Times New Roman"/>
          <w:sz w:val="28"/>
          <w:szCs w:val="28"/>
        </w:rPr>
        <w:t>следующие показатели:</w:t>
      </w:r>
    </w:p>
    <w:p w:rsidR="008A3C8A" w:rsidRPr="00DC2AA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DC2AAA">
        <w:rPr>
          <w:rFonts w:ascii="Times New Roman" w:hAnsi="Times New Roman" w:cs="Times New Roman"/>
          <w:sz w:val="28"/>
          <w:szCs w:val="28"/>
        </w:rPr>
        <w:lastRenderedPageBreak/>
        <w:t>- экономия бюджетных средств в процессе определения поставщика;</w:t>
      </w:r>
    </w:p>
    <w:p w:rsidR="008A3C8A" w:rsidRPr="00DC2AA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DC2AAA">
        <w:rPr>
          <w:rFonts w:ascii="Times New Roman" w:hAnsi="Times New Roman" w:cs="Times New Roman"/>
          <w:sz w:val="28"/>
          <w:szCs w:val="28"/>
        </w:rPr>
        <w:t>-экономия бюджетных средств при исполнении контрактов.</w:t>
      </w:r>
    </w:p>
    <w:p w:rsidR="008A3C8A" w:rsidRPr="00DC2AA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DC2AAA">
        <w:rPr>
          <w:rFonts w:ascii="Times New Roman" w:hAnsi="Times New Roman" w:cs="Times New Roman"/>
          <w:i/>
          <w:sz w:val="28"/>
          <w:szCs w:val="28"/>
        </w:rPr>
        <w:t>Экономия бюджетных средств в процессе определения поставщика</w:t>
      </w:r>
      <w:r w:rsidRPr="00DC2AAA">
        <w:rPr>
          <w:rFonts w:ascii="Times New Roman" w:hAnsi="Times New Roman" w:cs="Times New Roman"/>
          <w:sz w:val="28"/>
          <w:szCs w:val="28"/>
        </w:rPr>
        <w:t xml:space="preserve"> подразумевает под собой снижение начальной (максимальной) цены контракта относительно цены заключенных контрактов. Все закупки были путем проведения аукционов на электронной площадке.</w:t>
      </w:r>
    </w:p>
    <w:p w:rsidR="008A3C8A" w:rsidRPr="009A3950" w:rsidRDefault="008A3C8A" w:rsidP="008A3C8A">
      <w:pPr>
        <w:widowControl w:val="0"/>
        <w:spacing w:after="0" w:line="240" w:lineRule="auto"/>
        <w:ind w:firstLine="709"/>
        <w:jc w:val="both"/>
        <w:rPr>
          <w:rFonts w:ascii="Times New Roman" w:eastAsia="Times New Roman" w:hAnsi="Times New Roman" w:cs="Times New Roman"/>
          <w:sz w:val="28"/>
          <w:szCs w:val="28"/>
        </w:rPr>
      </w:pPr>
      <w:r w:rsidRPr="009A3950">
        <w:rPr>
          <w:rFonts w:ascii="Times New Roman" w:eastAsia="Times New Roman" w:hAnsi="Times New Roman" w:cs="Times New Roman"/>
          <w:sz w:val="28"/>
          <w:szCs w:val="28"/>
        </w:rPr>
        <w:t xml:space="preserve">Для оценки эффективности закупок для муниципальных нужд используются показатели абсолютной и относительной экономии </w:t>
      </w:r>
    </w:p>
    <w:p w:rsidR="008A3C8A" w:rsidRPr="009A3950" w:rsidRDefault="008A3C8A" w:rsidP="008A3C8A">
      <w:pPr>
        <w:widowControl w:val="0"/>
        <w:numPr>
          <w:ilvl w:val="0"/>
          <w:numId w:val="1"/>
        </w:numPr>
        <w:tabs>
          <w:tab w:val="left" w:pos="1177"/>
        </w:tabs>
        <w:spacing w:after="0" w:line="240" w:lineRule="auto"/>
        <w:ind w:firstLine="709"/>
        <w:jc w:val="both"/>
        <w:rPr>
          <w:rFonts w:ascii="Times New Roman" w:eastAsia="Times New Roman" w:hAnsi="Times New Roman" w:cs="Times New Roman"/>
          <w:sz w:val="28"/>
          <w:szCs w:val="28"/>
        </w:rPr>
      </w:pPr>
      <w:r w:rsidRPr="009A3950">
        <w:rPr>
          <w:rFonts w:ascii="Times New Roman" w:eastAsia="Times New Roman" w:hAnsi="Times New Roman" w:cs="Times New Roman"/>
          <w:sz w:val="28"/>
          <w:szCs w:val="28"/>
        </w:rPr>
        <w:t>абсолютный объём экономии - это разница между начальной (максимальной) ценой контрактов (НМЦК) и стоимостью заключённых контрактов (за вычетом стоимости незаключённых контрактов);</w:t>
      </w:r>
    </w:p>
    <w:p w:rsidR="008A3C8A" w:rsidRPr="009A3950" w:rsidRDefault="008A3C8A" w:rsidP="008A3C8A">
      <w:pPr>
        <w:widowControl w:val="0"/>
        <w:numPr>
          <w:ilvl w:val="0"/>
          <w:numId w:val="1"/>
        </w:numPr>
        <w:tabs>
          <w:tab w:val="left" w:pos="1018"/>
        </w:tabs>
        <w:spacing w:after="0" w:line="240" w:lineRule="auto"/>
        <w:ind w:firstLine="709"/>
        <w:jc w:val="both"/>
        <w:rPr>
          <w:rFonts w:ascii="Times New Roman" w:eastAsia="Times New Roman" w:hAnsi="Times New Roman" w:cs="Times New Roman"/>
          <w:sz w:val="28"/>
          <w:szCs w:val="28"/>
        </w:rPr>
      </w:pPr>
      <w:r w:rsidRPr="009A3950">
        <w:rPr>
          <w:rFonts w:ascii="Times New Roman" w:eastAsia="Times New Roman" w:hAnsi="Times New Roman" w:cs="Times New Roman"/>
          <w:sz w:val="28"/>
          <w:szCs w:val="28"/>
        </w:rPr>
        <w:t>относительный объём экономии (в %) - это отношение абсолютной экономии к общей сумме НМЦК.</w:t>
      </w:r>
    </w:p>
    <w:p w:rsidR="008A3C8A" w:rsidRPr="009A3950" w:rsidRDefault="008A3C8A" w:rsidP="008A3C8A">
      <w:pPr>
        <w:widowControl w:val="0"/>
        <w:spacing w:after="0" w:line="240" w:lineRule="auto"/>
        <w:ind w:firstLine="709"/>
        <w:jc w:val="both"/>
        <w:rPr>
          <w:rFonts w:ascii="Times New Roman" w:eastAsia="Times New Roman" w:hAnsi="Times New Roman" w:cs="Times New Roman"/>
          <w:sz w:val="28"/>
          <w:szCs w:val="28"/>
        </w:rPr>
      </w:pPr>
      <w:r w:rsidRPr="009A3950">
        <w:rPr>
          <w:rFonts w:ascii="Times New Roman" w:eastAsia="Times New Roman" w:hAnsi="Times New Roman" w:cs="Times New Roman"/>
          <w:sz w:val="28"/>
          <w:szCs w:val="28"/>
        </w:rPr>
        <w:t>Информация об экономии бюджетных средств в процессе осуществления конкурентных закупок представлена в таблице (</w:t>
      </w:r>
      <w:proofErr w:type="gramStart"/>
      <w:r w:rsidRPr="009A3950">
        <w:rPr>
          <w:rFonts w:ascii="Times New Roman" w:eastAsia="Times New Roman" w:hAnsi="Times New Roman" w:cs="Times New Roman"/>
          <w:sz w:val="28"/>
          <w:szCs w:val="28"/>
        </w:rPr>
        <w:t>в рублей</w:t>
      </w:r>
      <w:proofErr w:type="gramEnd"/>
      <w:r w:rsidRPr="009A3950">
        <w:rPr>
          <w:rFonts w:ascii="Times New Roman" w:eastAsia="Times New Roman" w:hAnsi="Times New Roman" w:cs="Times New Roman"/>
          <w:sz w:val="28"/>
          <w:szCs w:val="28"/>
        </w:rPr>
        <w:t>), следующей ниже.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5"/>
        <w:gridCol w:w="1038"/>
        <w:gridCol w:w="1166"/>
        <w:gridCol w:w="1418"/>
        <w:gridCol w:w="1677"/>
        <w:gridCol w:w="1725"/>
      </w:tblGrid>
      <w:tr w:rsidR="008A3C8A" w:rsidRPr="009A3950" w:rsidTr="00DA4630">
        <w:trPr>
          <w:trHeight w:hRule="exact" w:val="293"/>
          <w:jc w:val="center"/>
        </w:trPr>
        <w:tc>
          <w:tcPr>
            <w:tcW w:w="2785" w:type="dxa"/>
            <w:vMerge w:val="restart"/>
            <w:tcBorders>
              <w:top w:val="single" w:sz="4" w:space="0" w:color="auto"/>
              <w:lef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74" w:lineRule="exact"/>
              <w:ind w:left="133"/>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Способ размещения закупок, период</w:t>
            </w:r>
          </w:p>
        </w:tc>
        <w:tc>
          <w:tcPr>
            <w:tcW w:w="1038" w:type="dxa"/>
            <w:vMerge w:val="restart"/>
            <w:tcBorders>
              <w:top w:val="single" w:sz="4" w:space="0" w:color="auto"/>
              <w:lef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74" w:lineRule="exact"/>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 контракта</w:t>
            </w:r>
          </w:p>
        </w:tc>
        <w:tc>
          <w:tcPr>
            <w:tcW w:w="1166" w:type="dxa"/>
            <w:vMerge w:val="restart"/>
            <w:tcBorders>
              <w:top w:val="single" w:sz="4" w:space="0" w:color="auto"/>
              <w:lef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83" w:lineRule="exact"/>
              <w:jc w:val="center"/>
              <w:rPr>
                <w:rFonts w:ascii="Times New Roman" w:eastAsia="Times New Roman" w:hAnsi="Times New Roman" w:cs="Times New Roman"/>
                <w:color w:val="000000"/>
                <w:shd w:val="clear" w:color="auto" w:fill="FFFFFF"/>
              </w:rPr>
            </w:pPr>
            <w:r w:rsidRPr="009A3950">
              <w:rPr>
                <w:rFonts w:ascii="Times New Roman" w:eastAsia="Times New Roman" w:hAnsi="Times New Roman" w:cs="Times New Roman"/>
                <w:color w:val="000000"/>
                <w:shd w:val="clear" w:color="auto" w:fill="FFFFFF"/>
              </w:rPr>
              <w:t xml:space="preserve">НМЦК, </w:t>
            </w:r>
          </w:p>
          <w:p w:rsidR="008A3C8A" w:rsidRPr="009A3950" w:rsidRDefault="008A3C8A" w:rsidP="00DA4630">
            <w:pPr>
              <w:framePr w:w="10085" w:wrap="notBeside" w:vAnchor="text" w:hAnchor="page" w:x="1150" w:y="124"/>
              <w:widowControl w:val="0"/>
              <w:spacing w:after="0" w:line="283" w:lineRule="exact"/>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 xml:space="preserve">в </w:t>
            </w:r>
            <w:proofErr w:type="spellStart"/>
            <w:r w:rsidRPr="009A3950">
              <w:rPr>
                <w:rFonts w:ascii="Times New Roman" w:eastAsia="Times New Roman" w:hAnsi="Times New Roman" w:cs="Times New Roman"/>
                <w:color w:val="000000"/>
                <w:shd w:val="clear" w:color="auto" w:fill="FFFFFF"/>
              </w:rPr>
              <w:t>тыс.руб</w:t>
            </w:r>
            <w:proofErr w:type="spellEnd"/>
            <w:r w:rsidRPr="009A3950">
              <w:rPr>
                <w:rFonts w:ascii="Times New Roman" w:eastAsia="Times New Roman" w:hAnsi="Times New Roman" w:cs="Times New Roman"/>
                <w:color w:val="000000"/>
                <w:shd w:val="clear" w:color="auto" w:fill="FFFFFF"/>
              </w:rPr>
              <w:t>.</w:t>
            </w:r>
          </w:p>
        </w:tc>
        <w:tc>
          <w:tcPr>
            <w:tcW w:w="1418" w:type="dxa"/>
            <w:vMerge w:val="restart"/>
            <w:tcBorders>
              <w:top w:val="single" w:sz="4" w:space="0" w:color="auto"/>
              <w:lef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74" w:lineRule="exact"/>
              <w:ind w:left="130" w:right="113"/>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Сумма по контрактам, в тыс. руб.</w:t>
            </w:r>
          </w:p>
        </w:tc>
        <w:tc>
          <w:tcPr>
            <w:tcW w:w="3402" w:type="dxa"/>
            <w:gridSpan w:val="2"/>
            <w:tcBorders>
              <w:top w:val="single" w:sz="4" w:space="0" w:color="auto"/>
              <w:left w:val="single" w:sz="4" w:space="0" w:color="auto"/>
              <w:righ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51" w:right="10"/>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Экономия в результате закупки</w:t>
            </w:r>
          </w:p>
        </w:tc>
      </w:tr>
      <w:tr w:rsidR="008A3C8A" w:rsidRPr="009A3950" w:rsidTr="00DA4630">
        <w:trPr>
          <w:trHeight w:hRule="exact" w:val="835"/>
          <w:jc w:val="center"/>
        </w:trPr>
        <w:tc>
          <w:tcPr>
            <w:tcW w:w="2785" w:type="dxa"/>
            <w:vMerge/>
            <w:tcBorders>
              <w:left w:val="single" w:sz="4" w:space="0" w:color="auto"/>
            </w:tcBorders>
            <w:shd w:val="clear" w:color="auto" w:fill="FFFFFF"/>
          </w:tcPr>
          <w:p w:rsidR="008A3C8A" w:rsidRPr="009A3950" w:rsidRDefault="008A3C8A" w:rsidP="00DA4630">
            <w:pPr>
              <w:framePr w:w="10085" w:wrap="notBeside" w:vAnchor="text" w:hAnchor="page" w:x="1150" w:y="124"/>
              <w:spacing w:after="200" w:line="276" w:lineRule="auto"/>
              <w:ind w:left="133"/>
              <w:jc w:val="center"/>
              <w:rPr>
                <w:rFonts w:ascii="Times New Roman" w:eastAsia="Times New Roman" w:hAnsi="Times New Roman" w:cs="Times New Roman"/>
                <w:lang w:eastAsia="ru-RU"/>
              </w:rPr>
            </w:pPr>
          </w:p>
        </w:tc>
        <w:tc>
          <w:tcPr>
            <w:tcW w:w="1038" w:type="dxa"/>
            <w:vMerge/>
            <w:tcBorders>
              <w:left w:val="single" w:sz="4" w:space="0" w:color="auto"/>
            </w:tcBorders>
            <w:shd w:val="clear" w:color="auto" w:fill="FFFFFF"/>
          </w:tcPr>
          <w:p w:rsidR="008A3C8A" w:rsidRPr="009A3950" w:rsidRDefault="008A3C8A" w:rsidP="00DA4630">
            <w:pPr>
              <w:framePr w:w="10085" w:wrap="notBeside" w:vAnchor="text" w:hAnchor="page" w:x="1150" w:y="124"/>
              <w:spacing w:after="200" w:line="276" w:lineRule="auto"/>
              <w:rPr>
                <w:rFonts w:ascii="Times New Roman" w:eastAsia="Times New Roman" w:hAnsi="Times New Roman" w:cs="Times New Roman"/>
                <w:lang w:eastAsia="ru-RU"/>
              </w:rPr>
            </w:pPr>
          </w:p>
        </w:tc>
        <w:tc>
          <w:tcPr>
            <w:tcW w:w="1166" w:type="dxa"/>
            <w:vMerge/>
            <w:tcBorders>
              <w:left w:val="single" w:sz="4" w:space="0" w:color="auto"/>
            </w:tcBorders>
            <w:shd w:val="clear" w:color="auto" w:fill="FFFFFF"/>
          </w:tcPr>
          <w:p w:rsidR="008A3C8A" w:rsidRPr="009A3950" w:rsidRDefault="008A3C8A" w:rsidP="00DA4630">
            <w:pPr>
              <w:framePr w:w="10085" w:wrap="notBeside" w:vAnchor="text" w:hAnchor="page" w:x="1150" w:y="124"/>
              <w:spacing w:after="200" w:line="276" w:lineRule="auto"/>
              <w:jc w:val="center"/>
              <w:rPr>
                <w:rFonts w:ascii="Times New Roman" w:eastAsia="Times New Roman" w:hAnsi="Times New Roman" w:cs="Times New Roman"/>
                <w:lang w:eastAsia="ru-RU"/>
              </w:rPr>
            </w:pPr>
          </w:p>
        </w:tc>
        <w:tc>
          <w:tcPr>
            <w:tcW w:w="1418" w:type="dxa"/>
            <w:vMerge/>
            <w:tcBorders>
              <w:left w:val="single" w:sz="4" w:space="0" w:color="auto"/>
            </w:tcBorders>
            <w:shd w:val="clear" w:color="auto" w:fill="FFFFFF"/>
          </w:tcPr>
          <w:p w:rsidR="008A3C8A" w:rsidRPr="009A3950" w:rsidRDefault="008A3C8A" w:rsidP="00DA4630">
            <w:pPr>
              <w:framePr w:w="10085" w:wrap="notBeside" w:vAnchor="text" w:hAnchor="page" w:x="1150" w:y="124"/>
              <w:spacing w:after="200" w:line="276" w:lineRule="auto"/>
              <w:ind w:left="130" w:right="113"/>
              <w:jc w:val="center"/>
              <w:rPr>
                <w:rFonts w:ascii="Times New Roman" w:eastAsia="Times New Roman" w:hAnsi="Times New Roman" w:cs="Times New Roman"/>
                <w:lang w:eastAsia="ru-RU"/>
              </w:rPr>
            </w:pPr>
          </w:p>
        </w:tc>
        <w:tc>
          <w:tcPr>
            <w:tcW w:w="1677" w:type="dxa"/>
            <w:tcBorders>
              <w:top w:val="single" w:sz="4" w:space="0" w:color="auto"/>
              <w:lef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74" w:lineRule="exact"/>
              <w:ind w:left="151" w:right="113"/>
              <w:jc w:val="center"/>
              <w:rPr>
                <w:rFonts w:ascii="Times New Roman" w:eastAsia="Times New Roman" w:hAnsi="Times New Roman" w:cs="Times New Roman"/>
                <w:color w:val="000000"/>
                <w:shd w:val="clear" w:color="auto" w:fill="FFFFFF"/>
              </w:rPr>
            </w:pPr>
            <w:r w:rsidRPr="009A3950">
              <w:rPr>
                <w:rFonts w:ascii="Times New Roman" w:eastAsia="Times New Roman" w:hAnsi="Times New Roman" w:cs="Times New Roman"/>
                <w:color w:val="000000"/>
                <w:shd w:val="clear" w:color="auto" w:fill="FFFFFF"/>
              </w:rPr>
              <w:t xml:space="preserve">Абсолютная, </w:t>
            </w:r>
          </w:p>
          <w:p w:rsidR="008A3C8A" w:rsidRPr="009A3950" w:rsidRDefault="008A3C8A" w:rsidP="00DA4630">
            <w:pPr>
              <w:framePr w:w="10085" w:wrap="notBeside" w:vAnchor="text" w:hAnchor="page" w:x="1150" w:y="124"/>
              <w:widowControl w:val="0"/>
              <w:spacing w:after="0" w:line="274" w:lineRule="exact"/>
              <w:ind w:left="151" w:right="113"/>
              <w:jc w:val="center"/>
              <w:rPr>
                <w:rFonts w:ascii="Times New Roman" w:eastAsia="Times New Roman" w:hAnsi="Times New Roman" w:cs="Times New Roman"/>
                <w:color w:val="000000"/>
                <w:shd w:val="clear" w:color="auto" w:fill="FFFFFF"/>
              </w:rPr>
            </w:pPr>
            <w:r w:rsidRPr="009A3950">
              <w:rPr>
                <w:rFonts w:ascii="Times New Roman" w:eastAsia="Times New Roman" w:hAnsi="Times New Roman" w:cs="Times New Roman"/>
                <w:color w:val="000000"/>
                <w:shd w:val="clear" w:color="auto" w:fill="FFFFFF"/>
              </w:rPr>
              <w:t xml:space="preserve">в тыс. руб. </w:t>
            </w:r>
          </w:p>
          <w:p w:rsidR="008A3C8A" w:rsidRPr="009A3950" w:rsidRDefault="008A3C8A" w:rsidP="00DA4630">
            <w:pPr>
              <w:framePr w:w="10085" w:wrap="notBeside" w:vAnchor="text" w:hAnchor="page" w:x="1150" w:y="124"/>
              <w:widowControl w:val="0"/>
              <w:spacing w:after="0" w:line="274" w:lineRule="exact"/>
              <w:ind w:left="151" w:right="113"/>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(гр.4-гр.3)</w:t>
            </w:r>
          </w:p>
        </w:tc>
        <w:tc>
          <w:tcPr>
            <w:tcW w:w="1725" w:type="dxa"/>
            <w:tcBorders>
              <w:top w:val="single" w:sz="4" w:space="0" w:color="auto"/>
              <w:left w:val="single" w:sz="4" w:space="0" w:color="auto"/>
              <w:right w:val="single" w:sz="4" w:space="0" w:color="auto"/>
            </w:tcBorders>
            <w:shd w:val="clear" w:color="auto" w:fill="FFFFFF"/>
          </w:tcPr>
          <w:p w:rsidR="008A3C8A" w:rsidRPr="009A3950" w:rsidRDefault="008A3C8A" w:rsidP="00DA4630">
            <w:pPr>
              <w:framePr w:w="10085" w:wrap="notBeside" w:vAnchor="text" w:hAnchor="page" w:x="1150" w:y="124"/>
              <w:widowControl w:val="0"/>
              <w:tabs>
                <w:tab w:val="left" w:pos="2135"/>
              </w:tabs>
              <w:spacing w:after="0" w:line="274" w:lineRule="exact"/>
              <w:ind w:left="8" w:right="152"/>
              <w:jc w:val="center"/>
              <w:rPr>
                <w:rFonts w:ascii="Times New Roman" w:eastAsia="Times New Roman" w:hAnsi="Times New Roman" w:cs="Times New Roman"/>
                <w:color w:val="000000"/>
                <w:shd w:val="clear" w:color="auto" w:fill="FFFFFF"/>
              </w:rPr>
            </w:pPr>
            <w:r w:rsidRPr="009A3950">
              <w:rPr>
                <w:rFonts w:ascii="Times New Roman" w:eastAsia="Times New Roman" w:hAnsi="Times New Roman" w:cs="Times New Roman"/>
                <w:color w:val="000000"/>
                <w:shd w:val="clear" w:color="auto" w:fill="FFFFFF"/>
              </w:rPr>
              <w:t xml:space="preserve">Относительная, </w:t>
            </w:r>
          </w:p>
          <w:p w:rsidR="008A3C8A" w:rsidRPr="009A3950" w:rsidRDefault="008A3C8A" w:rsidP="00DA4630">
            <w:pPr>
              <w:framePr w:w="10085" w:wrap="notBeside" w:vAnchor="text" w:hAnchor="page" w:x="1150" w:y="124"/>
              <w:widowControl w:val="0"/>
              <w:tabs>
                <w:tab w:val="left" w:pos="2135"/>
              </w:tabs>
              <w:spacing w:after="0" w:line="274" w:lineRule="exact"/>
              <w:ind w:left="8" w:right="152"/>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в %</w:t>
            </w:r>
          </w:p>
          <w:p w:rsidR="008A3C8A" w:rsidRPr="009A3950" w:rsidRDefault="008A3C8A" w:rsidP="00DA4630">
            <w:pPr>
              <w:framePr w:w="10085" w:wrap="notBeside" w:vAnchor="text" w:hAnchor="page" w:x="1150" w:y="124"/>
              <w:widowControl w:val="0"/>
              <w:tabs>
                <w:tab w:val="left" w:pos="2135"/>
              </w:tabs>
              <w:spacing w:after="0" w:line="274" w:lineRule="exact"/>
              <w:ind w:left="8" w:right="152"/>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(гр.5:гр.3х100)</w:t>
            </w:r>
          </w:p>
        </w:tc>
      </w:tr>
      <w:tr w:rsidR="008A3C8A" w:rsidRPr="009A3950" w:rsidTr="00DA4630">
        <w:trPr>
          <w:trHeight w:hRule="exact" w:val="288"/>
          <w:jc w:val="center"/>
        </w:trPr>
        <w:tc>
          <w:tcPr>
            <w:tcW w:w="2785" w:type="dxa"/>
            <w:tcBorders>
              <w:top w:val="single" w:sz="4" w:space="0" w:color="auto"/>
              <w:lef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33"/>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1</w:t>
            </w:r>
          </w:p>
        </w:tc>
        <w:tc>
          <w:tcPr>
            <w:tcW w:w="1038" w:type="dxa"/>
            <w:tcBorders>
              <w:top w:val="single" w:sz="4" w:space="0" w:color="auto"/>
              <w:lef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2</w:t>
            </w:r>
          </w:p>
        </w:tc>
        <w:tc>
          <w:tcPr>
            <w:tcW w:w="1166" w:type="dxa"/>
            <w:tcBorders>
              <w:top w:val="single" w:sz="4" w:space="0" w:color="auto"/>
              <w:lef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3</w:t>
            </w:r>
          </w:p>
        </w:tc>
        <w:tc>
          <w:tcPr>
            <w:tcW w:w="1418" w:type="dxa"/>
            <w:tcBorders>
              <w:top w:val="single" w:sz="4" w:space="0" w:color="auto"/>
              <w:lef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30" w:right="113"/>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4</w:t>
            </w:r>
          </w:p>
        </w:tc>
        <w:tc>
          <w:tcPr>
            <w:tcW w:w="1677" w:type="dxa"/>
            <w:tcBorders>
              <w:top w:val="single" w:sz="4" w:space="0" w:color="auto"/>
              <w:lef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51" w:right="113"/>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5</w:t>
            </w:r>
          </w:p>
        </w:tc>
        <w:tc>
          <w:tcPr>
            <w:tcW w:w="1725" w:type="dxa"/>
            <w:tcBorders>
              <w:top w:val="single" w:sz="4" w:space="0" w:color="auto"/>
              <w:left w:val="single" w:sz="4" w:space="0" w:color="auto"/>
              <w:righ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50" w:right="152"/>
              <w:jc w:val="center"/>
              <w:rPr>
                <w:rFonts w:ascii="Times New Roman" w:eastAsia="Times New Roman" w:hAnsi="Times New Roman" w:cs="Times New Roman"/>
              </w:rPr>
            </w:pPr>
            <w:r w:rsidRPr="009A3950">
              <w:rPr>
                <w:rFonts w:ascii="Times New Roman" w:eastAsia="Times New Roman" w:hAnsi="Times New Roman" w:cs="Times New Roman"/>
                <w:color w:val="000000"/>
                <w:shd w:val="clear" w:color="auto" w:fill="FFFFFF"/>
              </w:rPr>
              <w:t>6</w:t>
            </w:r>
          </w:p>
        </w:tc>
      </w:tr>
      <w:tr w:rsidR="008A3C8A" w:rsidRPr="009A3950" w:rsidTr="00DA4630">
        <w:trPr>
          <w:trHeight w:hRule="exact" w:val="588"/>
          <w:jc w:val="center"/>
        </w:trPr>
        <w:tc>
          <w:tcPr>
            <w:tcW w:w="2785"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78" w:lineRule="exact"/>
              <w:ind w:left="133"/>
              <w:rPr>
                <w:rFonts w:ascii="Times New Roman" w:eastAsia="Times New Roman" w:hAnsi="Times New Roman" w:cs="Times New Roman"/>
              </w:rPr>
            </w:pPr>
            <w:r>
              <w:rPr>
                <w:rFonts w:ascii="Times New Roman" w:eastAsia="Times New Roman" w:hAnsi="Times New Roman" w:cs="Times New Roman"/>
              </w:rPr>
              <w:t>Открытый конкурс в электронном виде</w:t>
            </w:r>
          </w:p>
        </w:tc>
        <w:tc>
          <w:tcPr>
            <w:tcW w:w="1038"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jc w:val="center"/>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lang w:val="en-US"/>
              </w:rPr>
              <w:t>II</w:t>
            </w:r>
            <w:r>
              <w:rPr>
                <w:rFonts w:ascii="Times New Roman" w:eastAsia="Times New Roman" w:hAnsi="Times New Roman" w:cs="Times New Roman"/>
              </w:rPr>
              <w:t>-2022</w:t>
            </w:r>
          </w:p>
        </w:tc>
        <w:tc>
          <w:tcPr>
            <w:tcW w:w="1166"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202 002,5</w:t>
            </w:r>
          </w:p>
        </w:tc>
        <w:tc>
          <w:tcPr>
            <w:tcW w:w="1418"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30"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198 800,0</w:t>
            </w:r>
          </w:p>
        </w:tc>
        <w:tc>
          <w:tcPr>
            <w:tcW w:w="1677"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51"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3 202,5</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50" w:right="152"/>
              <w:jc w:val="center"/>
              <w:rPr>
                <w:rFonts w:ascii="Times New Roman" w:eastAsia="Times New Roman" w:hAnsi="Times New Roman" w:cs="Times New Roman"/>
              </w:rPr>
            </w:pPr>
            <w:r>
              <w:rPr>
                <w:rFonts w:ascii="Times New Roman" w:eastAsia="Times New Roman" w:hAnsi="Times New Roman" w:cs="Times New Roman"/>
              </w:rPr>
              <w:t>1,6</w:t>
            </w:r>
          </w:p>
        </w:tc>
      </w:tr>
      <w:tr w:rsidR="008A3C8A" w:rsidRPr="009A3950" w:rsidTr="00DA4630">
        <w:trPr>
          <w:trHeight w:hRule="exact" w:val="979"/>
          <w:jc w:val="center"/>
        </w:trPr>
        <w:tc>
          <w:tcPr>
            <w:tcW w:w="2785"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33"/>
              <w:rPr>
                <w:rFonts w:ascii="Times New Roman" w:eastAsia="Times New Roman" w:hAnsi="Times New Roman" w:cs="Times New Roman"/>
              </w:rPr>
            </w:pPr>
            <w:r>
              <w:rPr>
                <w:rFonts w:ascii="Times New Roman" w:eastAsia="Times New Roman" w:hAnsi="Times New Roman" w:cs="Times New Roman"/>
              </w:rPr>
              <w:t>М</w:t>
            </w:r>
            <w:r w:rsidRPr="009A3950">
              <w:rPr>
                <w:rFonts w:ascii="Times New Roman" w:eastAsia="Times New Roman" w:hAnsi="Times New Roman" w:cs="Times New Roman"/>
              </w:rPr>
              <w:t xml:space="preserve">алая закупка у единственного поставщика по подпункту 4 пункта 1 статьи 93 Закона </w:t>
            </w:r>
            <w:r>
              <w:rPr>
                <w:rFonts w:ascii="Times New Roman" w:eastAsia="Times New Roman" w:hAnsi="Times New Roman" w:cs="Times New Roman"/>
              </w:rPr>
              <w:t>№44-ФЗ</w:t>
            </w:r>
            <w:r w:rsidRPr="009A3950">
              <w:rPr>
                <w:rFonts w:ascii="Times New Roman" w:eastAsia="Times New Roman" w:hAnsi="Times New Roman" w:cs="Times New Roman"/>
              </w:rPr>
              <w:t>.</w:t>
            </w:r>
          </w:p>
        </w:tc>
        <w:tc>
          <w:tcPr>
            <w:tcW w:w="1038"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jc w:val="center"/>
              <w:rPr>
                <w:rFonts w:ascii="Times New Roman" w:eastAsia="Times New Roman" w:hAnsi="Times New Roman" w:cs="Times New Roman"/>
              </w:rPr>
            </w:pPr>
            <w:r>
              <w:rPr>
                <w:rFonts w:ascii="Times New Roman" w:eastAsia="Times New Roman" w:hAnsi="Times New Roman" w:cs="Times New Roman"/>
              </w:rPr>
              <w:t>86/</w:t>
            </w:r>
            <w:r>
              <w:rPr>
                <w:rFonts w:ascii="Times New Roman" w:eastAsia="Times New Roman" w:hAnsi="Times New Roman" w:cs="Times New Roman"/>
                <w:lang w:val="en-US"/>
              </w:rPr>
              <w:t>V</w:t>
            </w:r>
            <w:r>
              <w:rPr>
                <w:rFonts w:ascii="Times New Roman" w:eastAsia="Times New Roman" w:hAnsi="Times New Roman" w:cs="Times New Roman"/>
              </w:rPr>
              <w:t>-2022</w:t>
            </w:r>
          </w:p>
        </w:tc>
        <w:tc>
          <w:tcPr>
            <w:tcW w:w="1166"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242,0</w:t>
            </w:r>
          </w:p>
        </w:tc>
        <w:tc>
          <w:tcPr>
            <w:tcW w:w="1418"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30"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242,0</w:t>
            </w:r>
          </w:p>
        </w:tc>
        <w:tc>
          <w:tcPr>
            <w:tcW w:w="1677"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51"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50" w:right="152"/>
              <w:jc w:val="center"/>
              <w:rPr>
                <w:rFonts w:ascii="Times New Roman" w:eastAsia="Times New Roman" w:hAnsi="Times New Roman" w:cs="Times New Roman"/>
              </w:rPr>
            </w:pPr>
            <w:r>
              <w:rPr>
                <w:rFonts w:ascii="Times New Roman" w:eastAsia="Times New Roman" w:hAnsi="Times New Roman" w:cs="Times New Roman"/>
              </w:rPr>
              <w:t>0</w:t>
            </w:r>
          </w:p>
        </w:tc>
      </w:tr>
      <w:tr w:rsidR="008A3C8A" w:rsidRPr="009A3950" w:rsidTr="00DA4630">
        <w:trPr>
          <w:trHeight w:hRule="exact" w:val="554"/>
          <w:jc w:val="center"/>
        </w:trPr>
        <w:tc>
          <w:tcPr>
            <w:tcW w:w="2785"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33"/>
              <w:rPr>
                <w:rFonts w:ascii="Times New Roman" w:eastAsia="Times New Roman" w:hAnsi="Times New Roman" w:cs="Times New Roman"/>
              </w:rPr>
            </w:pPr>
            <w:r>
              <w:rPr>
                <w:rFonts w:ascii="Times New Roman" w:eastAsia="Times New Roman" w:hAnsi="Times New Roman" w:cs="Times New Roman"/>
              </w:rPr>
              <w:t>Открытый конкурс в электронном виде</w:t>
            </w:r>
          </w:p>
        </w:tc>
        <w:tc>
          <w:tcPr>
            <w:tcW w:w="1038" w:type="dxa"/>
            <w:tcBorders>
              <w:top w:val="single" w:sz="4" w:space="0" w:color="auto"/>
              <w:left w:val="single" w:sz="4" w:space="0" w:color="auto"/>
              <w:bottom w:val="single" w:sz="4" w:space="0" w:color="auto"/>
            </w:tcBorders>
            <w:shd w:val="clear" w:color="auto" w:fill="FFFFFF"/>
          </w:tcPr>
          <w:p w:rsidR="008A3C8A" w:rsidRPr="00F6068A" w:rsidRDefault="008A3C8A" w:rsidP="00DA4630">
            <w:pPr>
              <w:framePr w:w="10085" w:wrap="notBeside" w:vAnchor="text" w:hAnchor="page" w:x="1150" w:y="124"/>
              <w:widowControl w:val="0"/>
              <w:spacing w:after="0" w:line="230" w:lineRule="exact"/>
              <w:jc w:val="center"/>
              <w:rPr>
                <w:rFonts w:ascii="Times New Roman" w:eastAsia="Times New Roman" w:hAnsi="Times New Roman" w:cs="Times New Roman"/>
              </w:rPr>
            </w:pPr>
            <w:r>
              <w:rPr>
                <w:rFonts w:ascii="Times New Roman" w:eastAsia="Times New Roman" w:hAnsi="Times New Roman" w:cs="Times New Roman"/>
              </w:rPr>
              <w:t>211/</w:t>
            </w:r>
            <w:r>
              <w:rPr>
                <w:rFonts w:ascii="Times New Roman" w:eastAsia="Times New Roman" w:hAnsi="Times New Roman" w:cs="Times New Roman"/>
                <w:lang w:val="en-US"/>
              </w:rPr>
              <w:t>IX</w:t>
            </w:r>
            <w:r>
              <w:rPr>
                <w:rFonts w:ascii="Times New Roman" w:eastAsia="Times New Roman" w:hAnsi="Times New Roman" w:cs="Times New Roman"/>
              </w:rPr>
              <w:t>-2022</w:t>
            </w:r>
          </w:p>
        </w:tc>
        <w:tc>
          <w:tcPr>
            <w:tcW w:w="1166"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w:t>
            </w:r>
          </w:p>
        </w:tc>
        <w:tc>
          <w:tcPr>
            <w:tcW w:w="1418"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30"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w:t>
            </w:r>
          </w:p>
        </w:tc>
        <w:tc>
          <w:tcPr>
            <w:tcW w:w="1677"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51"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50" w:right="152"/>
              <w:jc w:val="center"/>
              <w:rPr>
                <w:rFonts w:ascii="Times New Roman" w:eastAsia="Times New Roman" w:hAnsi="Times New Roman" w:cs="Times New Roman"/>
              </w:rPr>
            </w:pPr>
            <w:r>
              <w:rPr>
                <w:rFonts w:ascii="Times New Roman" w:eastAsia="Times New Roman" w:hAnsi="Times New Roman" w:cs="Times New Roman"/>
              </w:rPr>
              <w:t>0</w:t>
            </w:r>
          </w:p>
        </w:tc>
      </w:tr>
      <w:tr w:rsidR="008A3C8A" w:rsidRPr="009A3950" w:rsidTr="00DA4630">
        <w:trPr>
          <w:trHeight w:hRule="exact" w:val="283"/>
          <w:jc w:val="center"/>
        </w:trPr>
        <w:tc>
          <w:tcPr>
            <w:tcW w:w="2785"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33"/>
              <w:rPr>
                <w:rFonts w:ascii="Times New Roman" w:eastAsia="Times New Roman" w:hAnsi="Times New Roman" w:cs="Times New Roman"/>
              </w:rPr>
            </w:pPr>
            <w:r>
              <w:rPr>
                <w:rFonts w:ascii="Times New Roman" w:eastAsia="Times New Roman" w:hAnsi="Times New Roman" w:cs="Times New Roman"/>
              </w:rPr>
              <w:t>Всего</w:t>
            </w:r>
          </w:p>
        </w:tc>
        <w:tc>
          <w:tcPr>
            <w:tcW w:w="1038"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jc w:val="center"/>
              <w:rPr>
                <w:rFonts w:ascii="Times New Roman" w:eastAsia="Times New Roman" w:hAnsi="Times New Roman" w:cs="Times New Roman"/>
              </w:rPr>
            </w:pPr>
          </w:p>
        </w:tc>
        <w:tc>
          <w:tcPr>
            <w:tcW w:w="1166"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206 244,5</w:t>
            </w:r>
          </w:p>
        </w:tc>
        <w:tc>
          <w:tcPr>
            <w:tcW w:w="1418"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30"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203 042,0</w:t>
            </w:r>
          </w:p>
        </w:tc>
        <w:tc>
          <w:tcPr>
            <w:tcW w:w="1677" w:type="dxa"/>
            <w:tcBorders>
              <w:top w:val="single" w:sz="4" w:space="0" w:color="auto"/>
              <w:left w:val="single" w:sz="4" w:space="0" w:color="auto"/>
              <w:bottom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51"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3 202,5</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8A3C8A" w:rsidRPr="009A3950" w:rsidRDefault="008A3C8A" w:rsidP="00DA4630">
            <w:pPr>
              <w:framePr w:w="10085" w:wrap="notBeside" w:vAnchor="text" w:hAnchor="page" w:x="1150" w:y="124"/>
              <w:widowControl w:val="0"/>
              <w:spacing w:after="0" w:line="230" w:lineRule="exact"/>
              <w:ind w:left="150" w:right="152"/>
              <w:jc w:val="center"/>
              <w:rPr>
                <w:rFonts w:ascii="Times New Roman" w:eastAsia="Times New Roman" w:hAnsi="Times New Roman" w:cs="Times New Roman"/>
              </w:rPr>
            </w:pPr>
            <w:r>
              <w:rPr>
                <w:rFonts w:ascii="Times New Roman" w:eastAsia="Times New Roman" w:hAnsi="Times New Roman" w:cs="Times New Roman"/>
              </w:rPr>
              <w:t>1,6</w:t>
            </w:r>
          </w:p>
        </w:tc>
      </w:tr>
    </w:tbl>
    <w:p w:rsidR="008A3C8A" w:rsidRDefault="008A3C8A" w:rsidP="008A3C8A">
      <w:pPr>
        <w:autoSpaceDE w:val="0"/>
        <w:autoSpaceDN w:val="0"/>
        <w:adjustRightInd w:val="0"/>
        <w:spacing w:after="0" w:line="240" w:lineRule="auto"/>
        <w:ind w:firstLine="709"/>
        <w:jc w:val="both"/>
        <w:rPr>
          <w:rFonts w:ascii="Times New Roman" w:hAnsi="Times New Roman" w:cs="Times New Roman"/>
          <w:b/>
          <w:color w:val="7030A0"/>
          <w:sz w:val="28"/>
          <w:szCs w:val="28"/>
        </w:rPr>
      </w:pPr>
    </w:p>
    <w:p w:rsidR="008A3C8A" w:rsidRPr="00DC2AA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DC2AAA">
        <w:rPr>
          <w:rFonts w:ascii="Times New Roman" w:hAnsi="Times New Roman" w:cs="Times New Roman"/>
          <w:sz w:val="28"/>
          <w:szCs w:val="28"/>
        </w:rPr>
        <w:t xml:space="preserve">Из данных таблицы следует, что за счёт проведения процедур по определению поставщиков (подрядчиков, исполнителей) абсолютная экономия бюджетных средств </w:t>
      </w:r>
      <w:proofErr w:type="gramStart"/>
      <w:r w:rsidRPr="00DC2AAA">
        <w:rPr>
          <w:rFonts w:ascii="Times New Roman" w:hAnsi="Times New Roman" w:cs="Times New Roman"/>
          <w:sz w:val="28"/>
          <w:szCs w:val="28"/>
        </w:rPr>
        <w:t>составила  3</w:t>
      </w:r>
      <w:proofErr w:type="gramEnd"/>
      <w:r w:rsidRPr="00DC2AAA">
        <w:rPr>
          <w:rFonts w:ascii="Times New Roman" w:hAnsi="Times New Roman" w:cs="Times New Roman"/>
          <w:sz w:val="28"/>
          <w:szCs w:val="28"/>
        </w:rPr>
        <w:t> 202,5 тыс. рублей,  относительная экономия  – 1,6%.</w:t>
      </w:r>
    </w:p>
    <w:p w:rsidR="008A3C8A" w:rsidRPr="00DC2AA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DC2AAA">
        <w:rPr>
          <w:rFonts w:ascii="Times New Roman" w:hAnsi="Times New Roman" w:cs="Times New Roman"/>
          <w:sz w:val="28"/>
          <w:szCs w:val="28"/>
        </w:rPr>
        <w:t>Сравнительный анализ показал, что при осуществлении закупок установлена незначительная экономия бюджетных средств.</w:t>
      </w:r>
    </w:p>
    <w:p w:rsidR="008A3C8A" w:rsidRPr="00DC2AA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DC2AAA">
        <w:rPr>
          <w:rFonts w:ascii="Times New Roman" w:hAnsi="Times New Roman" w:cs="Times New Roman"/>
          <w:sz w:val="28"/>
          <w:szCs w:val="28"/>
        </w:rPr>
        <w:t>При анализе конкуренции были рассмотрены следующие показатели:</w:t>
      </w:r>
    </w:p>
    <w:p w:rsidR="008A3C8A" w:rsidRPr="00DC2AA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DC2AAA">
        <w:rPr>
          <w:rFonts w:ascii="Times New Roman" w:hAnsi="Times New Roman" w:cs="Times New Roman"/>
          <w:sz w:val="28"/>
          <w:szCs w:val="28"/>
        </w:rPr>
        <w:t>– среднее количество заявок на одну конкурентную закупку –2,5 заявки на одну закупку (по контракту №22/II-2022 – 4 заявки, по контракту №211/IX-2022 – 1 заявка);</w:t>
      </w:r>
    </w:p>
    <w:p w:rsid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DC2AAA">
        <w:rPr>
          <w:rFonts w:ascii="Times New Roman" w:hAnsi="Times New Roman" w:cs="Times New Roman"/>
          <w:sz w:val="28"/>
          <w:szCs w:val="28"/>
        </w:rPr>
        <w:t>По результатам малой закупки у единственного поставщика по подпункту 4 пункта 1 статьи 93 Закона №44-ФЗ заключен контракт №86/V-2022.</w:t>
      </w:r>
    </w:p>
    <w:p w:rsid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lastRenderedPageBreak/>
        <w:t>Экономия бюджетных и иных средств, полученная при исполнении контрактов, то есть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Снижение цены анализируемых контрактов при их исполнении не установлено. При этом установлено увеличение цены контракта</w:t>
      </w:r>
      <w:r>
        <w:rPr>
          <w:rFonts w:ascii="Times New Roman" w:hAnsi="Times New Roman" w:cs="Times New Roman"/>
          <w:sz w:val="28"/>
          <w:szCs w:val="28"/>
        </w:rPr>
        <w:t xml:space="preserve"> №22/II-2022 от 26.02.2022 года: со 198 800,0 тыс. рублей при заключении муниципального контракта до</w:t>
      </w:r>
      <w:r w:rsidRPr="008A3C8A">
        <w:rPr>
          <w:rFonts w:ascii="Times New Roman" w:hAnsi="Times New Roman" w:cs="Times New Roman"/>
          <w:sz w:val="28"/>
          <w:szCs w:val="28"/>
        </w:rPr>
        <w:t xml:space="preserve"> </w:t>
      </w:r>
      <w:r>
        <w:rPr>
          <w:rFonts w:ascii="Times New Roman" w:hAnsi="Times New Roman" w:cs="Times New Roman"/>
          <w:sz w:val="28"/>
          <w:szCs w:val="28"/>
        </w:rPr>
        <w:t>353 766,1 тыс. рублей (в окончательной редакции внесенных изменений в контракт).</w:t>
      </w:r>
    </w:p>
    <w:p w:rsid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Аудитом установлено, что в ходе выполнения работ (оказания услуг) при исполнении контрактов экономия бюджетных средств заказчиком не обеспечивалась.</w:t>
      </w:r>
    </w:p>
    <w:p w:rsid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В ходе проверки исполнения контрактов на выполнение работ, оказание услуг и осуществлении контрольных действий в отношении документации объекта контроля по исполнению муниципальных контрактов и в отношении полученных результатов закупки товара, работы, услуги установлено:</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1. Выявлены случаи несвоевременного и недостоверного отражения в документах учета фактов финансово-хозяйственной деятельности:</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в нарушение Федерального закона от 06.12.2011 года N402-ФЗ "О бухгалтерском учете", Приказа Минфина России от 31.12.2016 N 256н (ред. от 30.06.2020)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в документах учета администрации городского округа Лотошино на момент принятия бюджетных обязательств на исполнение муниципального контракта №22/II-2022 от 26.02.2022 года отсутствовал актив в форме имущества (здание МОУ "Лотошинская средняя общеобразовательная школа №1"), закрепленный за учредителем;</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xml:space="preserve">- как следствие в </w:t>
      </w:r>
      <w:proofErr w:type="gramStart"/>
      <w:r w:rsidRPr="008A3C8A">
        <w:rPr>
          <w:rFonts w:ascii="Times New Roman" w:hAnsi="Times New Roman" w:cs="Times New Roman"/>
          <w:sz w:val="28"/>
          <w:szCs w:val="28"/>
        </w:rPr>
        <w:t>нарушение  статей</w:t>
      </w:r>
      <w:proofErr w:type="gramEnd"/>
      <w:r w:rsidRPr="008A3C8A">
        <w:rPr>
          <w:rFonts w:ascii="Times New Roman" w:hAnsi="Times New Roman" w:cs="Times New Roman"/>
          <w:sz w:val="28"/>
          <w:szCs w:val="28"/>
        </w:rPr>
        <w:t xml:space="preserve"> 38,162 Бюджетного кодекса Российской Федерации заказчиком при оплате денежных обязательств по муниципальному контракту №22/II-2022 от 26.02.2022 года осуществлялось планирование и расходование бюджетных средств на оплату денежных обязательств, подлежащих финансированию по другому коду классификации расходов бюджета.</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2. Проверкой на соответствие обеспечения исполнения контракта (банковской гарантии) требованиям Закона N 44-ФЗ установлено:</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xml:space="preserve">- в нарушение требований статьи 96 Закона о контрактной системе, раздела 10 Контракта банковская гарантия, представленная </w:t>
      </w:r>
      <w:r>
        <w:rPr>
          <w:rFonts w:ascii="Times New Roman" w:hAnsi="Times New Roman" w:cs="Times New Roman"/>
          <w:sz w:val="28"/>
          <w:szCs w:val="28"/>
        </w:rPr>
        <w:t xml:space="preserve">подрядчиком </w:t>
      </w:r>
      <w:r w:rsidRPr="008A3C8A">
        <w:rPr>
          <w:rFonts w:ascii="Times New Roman" w:hAnsi="Times New Roman" w:cs="Times New Roman"/>
          <w:sz w:val="28"/>
          <w:szCs w:val="28"/>
        </w:rPr>
        <w:t>в качестве обеспечения гарантийных обязательств, датирована 19.04.2023 года, то есть позднее даты оформления документа о приемке выполненных работ;</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xml:space="preserve">- в нарушение пункта 7.3.5 Контракта администрацией городского округа Лотошино (заказчик) требования об уплате штрафа за несвоевременное </w:t>
      </w:r>
      <w:r w:rsidRPr="008A3C8A">
        <w:rPr>
          <w:rFonts w:ascii="Times New Roman" w:hAnsi="Times New Roman" w:cs="Times New Roman"/>
          <w:sz w:val="28"/>
          <w:szCs w:val="28"/>
        </w:rPr>
        <w:lastRenderedPageBreak/>
        <w:t xml:space="preserve">предоставление обеспечения гарантийных </w:t>
      </w:r>
      <w:proofErr w:type="gramStart"/>
      <w:r w:rsidRPr="008A3C8A">
        <w:rPr>
          <w:rFonts w:ascii="Times New Roman" w:hAnsi="Times New Roman" w:cs="Times New Roman"/>
          <w:sz w:val="28"/>
          <w:szCs w:val="28"/>
        </w:rPr>
        <w:t>обязательств  в</w:t>
      </w:r>
      <w:proofErr w:type="gramEnd"/>
      <w:r w:rsidRPr="008A3C8A">
        <w:rPr>
          <w:rFonts w:ascii="Times New Roman" w:hAnsi="Times New Roman" w:cs="Times New Roman"/>
          <w:sz w:val="28"/>
          <w:szCs w:val="28"/>
        </w:rPr>
        <w:t xml:space="preserve"> адрес подрядчика не направлялись;</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в нарушение требований Федерального закона от 06.12.2011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администрацией городского округа Лотошино бухгалтерский учет банковских гарантий, предоставленных в обеспечение исполнения контракта №22/II-2022 на сумму  40 400 502,44 рублей, а также обеспечения гарантийных обязательств на сумму 6 060 075,37 рублей не осуществлялся.</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Указанные нарушения требований к бюджетному (бухгалтерскому) учету, повлекли представление бюджетной или бухгалтерской (финансовой) отчетности, с искажением показателей бюджетной или бухгалтерской (финансовой) отчетности</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xml:space="preserve">3. При </w:t>
      </w:r>
      <w:proofErr w:type="gramStart"/>
      <w:r w:rsidRPr="008A3C8A">
        <w:rPr>
          <w:rFonts w:ascii="Times New Roman" w:hAnsi="Times New Roman" w:cs="Times New Roman"/>
          <w:sz w:val="28"/>
          <w:szCs w:val="28"/>
        </w:rPr>
        <w:t>проверке  системы</w:t>
      </w:r>
      <w:proofErr w:type="gramEnd"/>
      <w:r w:rsidRPr="008A3C8A">
        <w:rPr>
          <w:rFonts w:ascii="Times New Roman" w:hAnsi="Times New Roman" w:cs="Times New Roman"/>
          <w:sz w:val="28"/>
          <w:szCs w:val="28"/>
        </w:rPr>
        <w:t xml:space="preserve"> планирования закупок и процедур определения поставщика (подрядчика, исполнителя)установлено:</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в нарушение статьи 22 Закона о контрактной системе при заключении муниципального контракта № 86/V-2022 от 08.06.2022 года отсутствуют обоснования применения иного метода определения начальной (максимальной) цены контракта, цены контракта, заключаемого с единственным поставщиком (подрядчиком, исполнителем);</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в нарушение ч. 1 ст. 34 Закона о контрактной системе контракт N 86/V-</w:t>
      </w:r>
      <w:proofErr w:type="gramStart"/>
      <w:r w:rsidRPr="008A3C8A">
        <w:rPr>
          <w:rFonts w:ascii="Times New Roman" w:hAnsi="Times New Roman" w:cs="Times New Roman"/>
          <w:sz w:val="28"/>
          <w:szCs w:val="28"/>
        </w:rPr>
        <w:t>2022  от</w:t>
      </w:r>
      <w:proofErr w:type="gramEnd"/>
      <w:r w:rsidRPr="008A3C8A">
        <w:rPr>
          <w:rFonts w:ascii="Times New Roman" w:hAnsi="Times New Roman" w:cs="Times New Roman"/>
          <w:sz w:val="28"/>
          <w:szCs w:val="28"/>
        </w:rPr>
        <w:t xml:space="preserve"> 06.06.2022 года  заключен с нарушением условий, предусмотренных извещением (предложением) об осуществлении закупки.</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4. Выявлены факты необоснованного внесения изменений в контракт:</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в нарушение пункта 9 части 1 статьи 95 Закона о контрактной системе при внесении изменений в муниципальный контракт №22/II-2022 не представлены доказательства о том,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в нарушение части 2 статьи 34, части 1 статьи 95 Закона о контрактной системе, Постановления Правительства РФ от 16.04.2022 года N 680 (ред. от 21.10.2022)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срок исполнения муниципального контракта №22/II-2022 от 26.02.2022 года (дополнительное соглашение №9 от 15.12.2022 года) при не соблюдении установленных требований (срок контракта менее одного года; отсутствие решения органа местного самоуправления о продлении срока исполнения контракта; отсутствие обеспечения исполнения контракта на продленный срок).</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lastRenderedPageBreak/>
        <w:t>5. Выявлены факты незаконного, при отсутствии обоснований, расторжения контракта:</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в нарушение пункта 1 статьи 450 Гражданского кодекса РФ муниципальный контракт №22/II-</w:t>
      </w:r>
      <w:proofErr w:type="gramStart"/>
      <w:r w:rsidRPr="008A3C8A">
        <w:rPr>
          <w:rFonts w:ascii="Times New Roman" w:hAnsi="Times New Roman" w:cs="Times New Roman"/>
          <w:sz w:val="28"/>
          <w:szCs w:val="28"/>
        </w:rPr>
        <w:t>2022  расторгнут</w:t>
      </w:r>
      <w:proofErr w:type="gramEnd"/>
      <w:r w:rsidRPr="008A3C8A">
        <w:rPr>
          <w:rFonts w:ascii="Times New Roman" w:hAnsi="Times New Roman" w:cs="Times New Roman"/>
          <w:sz w:val="28"/>
          <w:szCs w:val="28"/>
        </w:rPr>
        <w:t xml:space="preserve"> по соглашению  сторон при наличии неуплаченной подрядчиком неустойки, предъявленной заказчиком, то есть при наличии неурегулированных претензии друг к другу по исполнению контракта.</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xml:space="preserve">- в нарушение части 8 статьи 95 Закона №44-ФЗ муниципальный контракт №22/II-2022 расторгнут по соглашению сторон при наличии невыполненных подрядчиком в полном объеме работ и в установленный Контрактом срок, то </w:t>
      </w:r>
      <w:proofErr w:type="gramStart"/>
      <w:r w:rsidRPr="008A3C8A">
        <w:rPr>
          <w:rFonts w:ascii="Times New Roman" w:hAnsi="Times New Roman" w:cs="Times New Roman"/>
          <w:sz w:val="28"/>
          <w:szCs w:val="28"/>
        </w:rPr>
        <w:t>есть  с</w:t>
      </w:r>
      <w:proofErr w:type="gramEnd"/>
      <w:r w:rsidRPr="008A3C8A">
        <w:rPr>
          <w:rFonts w:ascii="Times New Roman" w:hAnsi="Times New Roman" w:cs="Times New Roman"/>
          <w:sz w:val="28"/>
          <w:szCs w:val="28"/>
        </w:rPr>
        <w:t xml:space="preserve"> нарушением существенных условий Контракта, что фактически не позволило Заказчику получить требуемый результат в установленные сроки.</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в нарушение части 9 статьи 95 Федерального закона N 44-ФЗ, пункта 8.6. Контракта администрацией городского округа Лотошино при наличии правовых оснований для принятия решений об одностороннем отказе от исполнения контракта принято решение о расторжении муниципального контракта №22/II-2022 по соглашению сторон.</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6. Выявлены факты несвоевременного отражения в документах учета поставленного товара, выполненной работы (ее результата) или оказанной услуги:</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xml:space="preserve">В нарушение части 2 статьи 94 Закона N 44-ФЗ </w:t>
      </w:r>
      <w:r>
        <w:rPr>
          <w:rFonts w:ascii="Times New Roman" w:hAnsi="Times New Roman" w:cs="Times New Roman"/>
          <w:sz w:val="28"/>
          <w:szCs w:val="28"/>
        </w:rPr>
        <w:t>подрядчиком</w:t>
      </w:r>
      <w:r w:rsidRPr="008A3C8A">
        <w:rPr>
          <w:rFonts w:ascii="Times New Roman" w:hAnsi="Times New Roman" w:cs="Times New Roman"/>
          <w:sz w:val="28"/>
          <w:szCs w:val="28"/>
        </w:rPr>
        <w:t xml:space="preserve"> нарушены условия контракта о своевременном предоставлении достоверной информации о ходе исполнения своих обязательств (предоставление заказчику результатов выполнения работы, предусмотренных контрактом).</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7. Выявлены факты не размещении информации об исполнении контрактов в единой информационной системе в сфере закупок (ПИК ЕАСУЗ):</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В нарушение Положения о порядке взаимодействия при осуществлении закупок для государственных нужд Московской области и муниципальных нужд администрацией городского округа Лотошино (заказчик) не обеспечено внесение в ПИК ЕАСУЗ документов исполнения этапа контракта «Передача информации о лицах, уполномоченных осуществлять строительный контроль и авторский надзор (при необходимости) за капитальным ремонтом объекта» (приложение 2 к Контракту раздел 1.2. «Иные обязательства» №п\п 5).</w:t>
      </w:r>
    </w:p>
    <w:p w:rsidR="008A3C8A" w:rsidRDefault="00D85BBD" w:rsidP="008A3C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85BBD">
        <w:rPr>
          <w:rFonts w:ascii="Times New Roman" w:hAnsi="Times New Roman" w:cs="Times New Roman"/>
          <w:sz w:val="28"/>
          <w:szCs w:val="28"/>
        </w:rPr>
        <w:t>В нарушение статьи 100 Федерального закона от 05.04.2013 N 44-ФЗ "О контрактной системе в сфере закупок товаров, работ, услуг для обеспечения государственных и муниципальных нужд" фактически в 2022 году, в текущем периоде 2023 года ведомственный контроль в сфере закупок администрацией городского округа Лотошино не осуществлялся: план проверок отсутствует, проверки подведомственных заказчиков не осуществляются.</w:t>
      </w:r>
    </w:p>
    <w:p w:rsidR="00D85BBD" w:rsidRPr="008A3C8A" w:rsidRDefault="00D85BBD" w:rsidP="008A3C8A">
      <w:pPr>
        <w:autoSpaceDE w:val="0"/>
        <w:autoSpaceDN w:val="0"/>
        <w:adjustRightInd w:val="0"/>
        <w:spacing w:after="0" w:line="240" w:lineRule="auto"/>
        <w:ind w:firstLine="709"/>
        <w:jc w:val="both"/>
        <w:rPr>
          <w:rFonts w:ascii="Times New Roman" w:hAnsi="Times New Roman" w:cs="Times New Roman"/>
          <w:sz w:val="28"/>
          <w:szCs w:val="28"/>
        </w:rPr>
      </w:pP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В целом, проведенный аудит в сфере закупок свидетельствует:</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lastRenderedPageBreak/>
        <w:t>- о целесообразности расходов на закупки, которые обеспечивались наличием обоснованных муниципальных нужд, необходимых для достижения уставных целей и реализации программных мероприятий, участником которых является заказчик;</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об обоснованности расходов на закупки, то есть соответствии планируемых закупок целям осуществления закупок, определенным с учетом положений статьи 13 Закона N 44-ФЗ, а также законодательству Российской Федерации о контрактной системе в сфере закупок;</w:t>
      </w: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о достижении плановых и фактических результатов, целей закупки, которые выражались в выполнении работ, оказании услуг при запланированном количестве (объеме), сроке и других характеристик;</w:t>
      </w:r>
    </w:p>
    <w:p w:rsid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r w:rsidRPr="008A3C8A">
        <w:rPr>
          <w:rFonts w:ascii="Times New Roman" w:hAnsi="Times New Roman" w:cs="Times New Roman"/>
          <w:sz w:val="28"/>
          <w:szCs w:val="28"/>
        </w:rPr>
        <w:t>- об открытости и прозрачности посредством предоставления муниципальным заказчиком свободного и безвозмездного доступа к полной и достоверной информации о закупках путём размещения в единой информационной системе;</w:t>
      </w:r>
    </w:p>
    <w:p w:rsidR="00D85BBD" w:rsidRPr="008A3C8A" w:rsidRDefault="00D85BBD" w:rsidP="008A3C8A">
      <w:pPr>
        <w:autoSpaceDE w:val="0"/>
        <w:autoSpaceDN w:val="0"/>
        <w:adjustRightInd w:val="0"/>
        <w:spacing w:after="0" w:line="240" w:lineRule="auto"/>
        <w:ind w:firstLine="709"/>
        <w:jc w:val="both"/>
        <w:rPr>
          <w:rFonts w:ascii="Times New Roman" w:hAnsi="Times New Roman" w:cs="Times New Roman"/>
          <w:sz w:val="28"/>
          <w:szCs w:val="28"/>
        </w:rPr>
      </w:pPr>
    </w:p>
    <w:p w:rsidR="00D85BBD" w:rsidRPr="00D85BBD" w:rsidRDefault="00D85BBD" w:rsidP="00D85BBD">
      <w:pPr>
        <w:autoSpaceDE w:val="0"/>
        <w:autoSpaceDN w:val="0"/>
        <w:adjustRightInd w:val="0"/>
        <w:spacing w:after="0" w:line="240" w:lineRule="auto"/>
        <w:ind w:firstLine="709"/>
        <w:jc w:val="both"/>
        <w:rPr>
          <w:rFonts w:ascii="Times New Roman" w:hAnsi="Times New Roman" w:cs="Times New Roman"/>
          <w:sz w:val="28"/>
          <w:szCs w:val="28"/>
        </w:rPr>
      </w:pPr>
      <w:r w:rsidRPr="00D85BBD">
        <w:rPr>
          <w:rFonts w:ascii="Times New Roman" w:hAnsi="Times New Roman" w:cs="Times New Roman"/>
          <w:sz w:val="28"/>
          <w:szCs w:val="28"/>
        </w:rPr>
        <w:t>Предложения по результатам проведенного аудита закупок:</w:t>
      </w:r>
    </w:p>
    <w:p w:rsidR="00D85BBD" w:rsidRDefault="00D85BBD" w:rsidP="00D85BBD">
      <w:pPr>
        <w:autoSpaceDE w:val="0"/>
        <w:autoSpaceDN w:val="0"/>
        <w:adjustRightInd w:val="0"/>
        <w:spacing w:after="0" w:line="240" w:lineRule="auto"/>
        <w:ind w:firstLine="709"/>
        <w:jc w:val="both"/>
        <w:rPr>
          <w:rFonts w:ascii="Times New Roman" w:hAnsi="Times New Roman" w:cs="Times New Roman"/>
          <w:sz w:val="28"/>
          <w:szCs w:val="28"/>
        </w:rPr>
      </w:pPr>
      <w:r w:rsidRPr="00D85BBD">
        <w:rPr>
          <w:rFonts w:ascii="Times New Roman" w:hAnsi="Times New Roman" w:cs="Times New Roman"/>
          <w:sz w:val="28"/>
          <w:szCs w:val="28"/>
        </w:rPr>
        <w:t>Контрольно-счетная палата рекомендует осуществить проведение квалифицированной и компетентной независимой экспертизы качества строительных работ, направленной на исследование и оценку выполненных строительных, ремонтных, монтажных и иных видов мероприятий с целью выявления фактического качества и объёма, а также их соответствия проектной, сметной документации, строительным нормативам.</w:t>
      </w:r>
    </w:p>
    <w:p w:rsidR="00D85BBD" w:rsidRDefault="00D85BBD" w:rsidP="00D85BBD">
      <w:pPr>
        <w:autoSpaceDE w:val="0"/>
        <w:autoSpaceDN w:val="0"/>
        <w:adjustRightInd w:val="0"/>
        <w:spacing w:after="0" w:line="240" w:lineRule="auto"/>
        <w:ind w:firstLine="709"/>
        <w:jc w:val="both"/>
        <w:rPr>
          <w:rFonts w:ascii="Times New Roman" w:hAnsi="Times New Roman" w:cs="Times New Roman"/>
          <w:sz w:val="28"/>
          <w:szCs w:val="28"/>
        </w:rPr>
      </w:pPr>
    </w:p>
    <w:p w:rsidR="00D85BBD" w:rsidRDefault="00D85BBD" w:rsidP="00D85B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контрольного мероприятия направлены в Прокуратуру Лотошинского района, </w:t>
      </w:r>
      <w:r w:rsidRPr="00D85BBD">
        <w:rPr>
          <w:rFonts w:ascii="Times New Roman" w:hAnsi="Times New Roman" w:cs="Times New Roman"/>
          <w:sz w:val="28"/>
          <w:szCs w:val="28"/>
        </w:rPr>
        <w:t>в Совет депутатов городского округа Лотошино.</w:t>
      </w:r>
    </w:p>
    <w:p w:rsidR="00D85BBD" w:rsidRDefault="00D85BBD" w:rsidP="00D85B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Главе городского округа Лотошино направлено представление об устранении выявленных нарушений.</w:t>
      </w:r>
    </w:p>
    <w:p w:rsidR="00D85BBD" w:rsidRDefault="00D85BBD" w:rsidP="00D85BBD">
      <w:pPr>
        <w:autoSpaceDE w:val="0"/>
        <w:autoSpaceDN w:val="0"/>
        <w:adjustRightInd w:val="0"/>
        <w:spacing w:after="0" w:line="240" w:lineRule="auto"/>
        <w:ind w:firstLine="709"/>
        <w:jc w:val="both"/>
        <w:rPr>
          <w:rFonts w:ascii="Times New Roman" w:hAnsi="Times New Roman" w:cs="Times New Roman"/>
          <w:sz w:val="28"/>
          <w:szCs w:val="28"/>
        </w:rPr>
      </w:pPr>
    </w:p>
    <w:p w:rsidR="00D85BBD" w:rsidRPr="00D85BBD" w:rsidRDefault="00D85BBD" w:rsidP="00D85BBD">
      <w:pPr>
        <w:autoSpaceDE w:val="0"/>
        <w:autoSpaceDN w:val="0"/>
        <w:adjustRightInd w:val="0"/>
        <w:spacing w:after="0" w:line="240" w:lineRule="auto"/>
        <w:jc w:val="both"/>
        <w:rPr>
          <w:rFonts w:ascii="Times New Roman" w:hAnsi="Times New Roman" w:cs="Times New Roman"/>
          <w:sz w:val="28"/>
          <w:szCs w:val="28"/>
        </w:rPr>
      </w:pPr>
    </w:p>
    <w:p w:rsidR="008A3C8A" w:rsidRPr="008A3C8A" w:rsidRDefault="008A3C8A" w:rsidP="008A3C8A">
      <w:pPr>
        <w:autoSpaceDE w:val="0"/>
        <w:autoSpaceDN w:val="0"/>
        <w:adjustRightInd w:val="0"/>
        <w:spacing w:after="0" w:line="240" w:lineRule="auto"/>
        <w:ind w:firstLine="709"/>
        <w:jc w:val="both"/>
        <w:rPr>
          <w:rFonts w:ascii="Times New Roman" w:hAnsi="Times New Roman" w:cs="Times New Roman"/>
          <w:sz w:val="28"/>
          <w:szCs w:val="28"/>
        </w:rPr>
      </w:pPr>
    </w:p>
    <w:sectPr w:rsidR="008A3C8A" w:rsidRPr="008A3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8A"/>
    <w:rsid w:val="008A3C8A"/>
    <w:rsid w:val="00AD4BD9"/>
    <w:rsid w:val="00D85BBD"/>
    <w:rsid w:val="00ED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03CB"/>
  <w15:chartTrackingRefBased/>
  <w15:docId w15:val="{0EA003F1-2D2A-4307-86F4-A16F6458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2118</Words>
  <Characters>12077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С.Ю.</dc:creator>
  <cp:keywords/>
  <dc:description/>
  <cp:lastModifiedBy>Фролова С.Ю.</cp:lastModifiedBy>
  <cp:revision>2</cp:revision>
  <dcterms:created xsi:type="dcterms:W3CDTF">2023-11-20T13:30:00Z</dcterms:created>
  <dcterms:modified xsi:type="dcterms:W3CDTF">2023-11-20T13:30:00Z</dcterms:modified>
</cp:coreProperties>
</file>